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39" w:rsidRDefault="006D7939" w:rsidP="006D7939">
      <w:pPr>
        <w:tabs>
          <w:tab w:val="left" w:pos="2826"/>
          <w:tab w:val="center" w:pos="4252"/>
        </w:tabs>
        <w:spacing w:after="0"/>
        <w:rPr>
          <w:b/>
          <w:noProof/>
          <w:sz w:val="44"/>
          <w:szCs w:val="44"/>
          <w:lang w:eastAsia="es-ES"/>
        </w:rPr>
      </w:pPr>
      <w:bookmarkStart w:id="0" w:name="_GoBack"/>
      <w:bookmarkEnd w:id="0"/>
      <w:r>
        <w:rPr>
          <w:noProof/>
          <w:lang w:eastAsia="es-ES"/>
        </w:rPr>
        <w:drawing>
          <wp:anchor distT="0" distB="0" distL="114300" distR="114300" simplePos="0" relativeHeight="251659264" behindDoc="1" locked="0" layoutInCell="1" allowOverlap="1" wp14:anchorId="21DF80A5" wp14:editId="16570193">
            <wp:simplePos x="0" y="0"/>
            <wp:positionH relativeFrom="column">
              <wp:posOffset>3615055</wp:posOffset>
            </wp:positionH>
            <wp:positionV relativeFrom="paragraph">
              <wp:posOffset>-146685</wp:posOffset>
            </wp:positionV>
            <wp:extent cx="2404745" cy="749935"/>
            <wp:effectExtent l="0" t="0" r="0" b="0"/>
            <wp:wrapThrough wrapText="bothSides">
              <wp:wrapPolygon edited="0">
                <wp:start x="0" y="0"/>
                <wp:lineTo x="0" y="20850"/>
                <wp:lineTo x="21389" y="20850"/>
                <wp:lineTo x="21389" y="0"/>
                <wp:lineTo x="0" y="0"/>
              </wp:wrapPolygon>
            </wp:wrapThrough>
            <wp:docPr id="5" name="0 Imagen" title="Logo de la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745" cy="749935"/>
                    </a:xfrm>
                    <a:prstGeom prst="rect">
                      <a:avLst/>
                    </a:prstGeom>
                  </pic:spPr>
                </pic:pic>
              </a:graphicData>
            </a:graphic>
            <wp14:sizeRelH relativeFrom="page">
              <wp14:pctWidth>0</wp14:pctWidth>
            </wp14:sizeRelH>
            <wp14:sizeRelV relativeFrom="page">
              <wp14:pctHeight>0</wp14:pctHeight>
            </wp14:sizeRelV>
          </wp:anchor>
        </w:drawing>
      </w:r>
      <w:r w:rsidR="00CA1A65">
        <w:rPr>
          <w:b/>
          <w:noProof/>
          <w:sz w:val="44"/>
          <w:szCs w:val="44"/>
          <w:lang w:eastAsia="es-ES"/>
        </w:rPr>
        <w:t xml:space="preserve"> </w:t>
      </w:r>
    </w:p>
    <w:p w:rsidR="008125E8" w:rsidRPr="008125E8" w:rsidRDefault="006D7939" w:rsidP="008125E8">
      <w:pPr>
        <w:pStyle w:val="Ttulo1"/>
        <w:spacing w:before="4760"/>
        <w:jc w:val="center"/>
        <w:rPr>
          <w:rFonts w:asciiTheme="minorHAnsi" w:hAnsiTheme="minorHAnsi" w:cs="Arial"/>
          <w:noProof/>
          <w:color w:val="auto"/>
          <w:sz w:val="48"/>
          <w:szCs w:val="48"/>
          <w:lang w:eastAsia="es-ES"/>
        </w:rPr>
      </w:pPr>
      <w:bookmarkStart w:id="1" w:name="_Toc475001630"/>
      <w:bookmarkStart w:id="2" w:name="_Toc476565892"/>
      <w:r w:rsidRPr="008125E8">
        <w:rPr>
          <w:rFonts w:asciiTheme="minorHAnsi" w:hAnsiTheme="minorHAnsi" w:cs="Arial"/>
          <w:noProof/>
          <w:color w:val="auto"/>
          <w:sz w:val="48"/>
          <w:szCs w:val="48"/>
          <w:lang w:eastAsia="es-ES"/>
        </w:rPr>
        <w:t>Plan de vigilancia de tecnología para todos</w:t>
      </w:r>
      <w:bookmarkEnd w:id="1"/>
      <w:bookmarkEnd w:id="2"/>
      <w:r w:rsidRPr="008125E8">
        <w:rPr>
          <w:rFonts w:asciiTheme="minorHAnsi" w:hAnsiTheme="minorHAnsi" w:cs="Arial"/>
          <w:noProof/>
          <w:color w:val="auto"/>
          <w:sz w:val="48"/>
          <w:szCs w:val="48"/>
          <w:lang w:eastAsia="es-ES"/>
        </w:rPr>
        <w:t xml:space="preserve"> </w:t>
      </w:r>
    </w:p>
    <w:p w:rsidR="006D7939" w:rsidRPr="008125E8" w:rsidRDefault="006D7939" w:rsidP="008125E8">
      <w:pPr>
        <w:pStyle w:val="Ttulo1"/>
        <w:spacing w:before="0"/>
        <w:jc w:val="center"/>
        <w:rPr>
          <w:rFonts w:asciiTheme="minorHAnsi" w:hAnsiTheme="minorHAnsi" w:cs="Arial"/>
          <w:noProof/>
          <w:color w:val="auto"/>
          <w:sz w:val="48"/>
          <w:szCs w:val="48"/>
          <w:lang w:eastAsia="es-ES"/>
        </w:rPr>
      </w:pPr>
      <w:bookmarkStart w:id="3" w:name="_Toc475001631"/>
      <w:bookmarkStart w:id="4" w:name="_Toc476565893"/>
      <w:r w:rsidRPr="008125E8">
        <w:rPr>
          <w:rFonts w:asciiTheme="minorHAnsi" w:hAnsiTheme="minorHAnsi" w:cs="Arial"/>
          <w:noProof/>
          <w:color w:val="auto"/>
          <w:sz w:val="48"/>
          <w:szCs w:val="48"/>
          <w:lang w:eastAsia="es-ES"/>
        </w:rPr>
        <w:t>Entregable 5</w:t>
      </w:r>
      <w:bookmarkEnd w:id="3"/>
      <w:bookmarkEnd w:id="4"/>
    </w:p>
    <w:p w:rsidR="00B9124D" w:rsidRDefault="00B9124D" w:rsidP="006D7939">
      <w:pPr>
        <w:tabs>
          <w:tab w:val="left" w:pos="2826"/>
          <w:tab w:val="center" w:pos="4252"/>
        </w:tabs>
        <w:spacing w:after="0"/>
      </w:pPr>
      <w:r w:rsidRPr="005371BB">
        <w:rPr>
          <w:b/>
          <w:noProof/>
          <w:sz w:val="44"/>
          <w:szCs w:val="44"/>
          <w:lang w:eastAsia="es-ES"/>
        </w:rPr>
        <w:t xml:space="preserve"> </w:t>
      </w:r>
      <w:r>
        <w:br w:type="page"/>
      </w:r>
    </w:p>
    <w:sdt>
      <w:sdtPr>
        <w:rPr>
          <w:rFonts w:asciiTheme="minorHAnsi" w:eastAsiaTheme="minorHAnsi" w:hAnsiTheme="minorHAnsi" w:cstheme="minorBidi"/>
          <w:b w:val="0"/>
          <w:bCs w:val="0"/>
          <w:color w:val="auto"/>
          <w:sz w:val="22"/>
          <w:szCs w:val="22"/>
          <w:lang w:eastAsia="en-US"/>
        </w:rPr>
        <w:id w:val="-286042504"/>
        <w:docPartObj>
          <w:docPartGallery w:val="Table of Contents"/>
          <w:docPartUnique/>
        </w:docPartObj>
      </w:sdtPr>
      <w:sdtEndPr/>
      <w:sdtContent>
        <w:p w:rsidR="00A10C54" w:rsidRDefault="00A10C54" w:rsidP="00A10C54">
          <w:pPr>
            <w:pStyle w:val="TtulodeTDC"/>
            <w:jc w:val="center"/>
            <w:rPr>
              <w:rFonts w:asciiTheme="minorHAnsi" w:hAnsiTheme="minorHAnsi"/>
              <w:color w:val="auto"/>
            </w:rPr>
          </w:pPr>
          <w:r>
            <w:rPr>
              <w:rFonts w:asciiTheme="minorHAnsi" w:hAnsiTheme="minorHAnsi"/>
              <w:color w:val="auto"/>
            </w:rPr>
            <w:t>Índice</w:t>
          </w:r>
        </w:p>
        <w:p w:rsidR="002E58AF" w:rsidRDefault="00A10C54">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476565892" w:history="1">
            <w:r w:rsidR="002E58AF" w:rsidRPr="006A7B07">
              <w:rPr>
                <w:rStyle w:val="Hipervnculo"/>
                <w:rFonts w:cs="Arial"/>
                <w:noProof/>
                <w:lang w:eastAsia="es-ES"/>
              </w:rPr>
              <w:t>Plan de vigilancia de tecnología para todos</w:t>
            </w:r>
            <w:r w:rsidR="002E58AF">
              <w:rPr>
                <w:noProof/>
                <w:webHidden/>
              </w:rPr>
              <w:tab/>
            </w:r>
            <w:r w:rsidR="002E58AF">
              <w:rPr>
                <w:noProof/>
                <w:webHidden/>
              </w:rPr>
              <w:fldChar w:fldCharType="begin"/>
            </w:r>
            <w:r w:rsidR="002E58AF">
              <w:rPr>
                <w:noProof/>
                <w:webHidden/>
              </w:rPr>
              <w:instrText xml:space="preserve"> PAGEREF _Toc476565892 \h </w:instrText>
            </w:r>
            <w:r w:rsidR="002E58AF">
              <w:rPr>
                <w:noProof/>
                <w:webHidden/>
              </w:rPr>
            </w:r>
            <w:r w:rsidR="002E58AF">
              <w:rPr>
                <w:noProof/>
                <w:webHidden/>
              </w:rPr>
              <w:fldChar w:fldCharType="separate"/>
            </w:r>
            <w:r w:rsidR="00D83858">
              <w:rPr>
                <w:noProof/>
                <w:webHidden/>
              </w:rPr>
              <w:t>1</w:t>
            </w:r>
            <w:r w:rsidR="002E58AF">
              <w:rPr>
                <w:noProof/>
                <w:webHidden/>
              </w:rPr>
              <w:fldChar w:fldCharType="end"/>
            </w:r>
          </w:hyperlink>
        </w:p>
        <w:p w:rsidR="002E58AF" w:rsidRDefault="00C44592">
          <w:pPr>
            <w:pStyle w:val="TDC1"/>
            <w:tabs>
              <w:tab w:val="right" w:leader="dot" w:pos="8494"/>
            </w:tabs>
            <w:rPr>
              <w:rFonts w:eastAsiaTheme="minorEastAsia"/>
              <w:noProof/>
              <w:lang w:eastAsia="es-ES"/>
            </w:rPr>
          </w:pPr>
          <w:hyperlink w:anchor="_Toc476565893" w:history="1">
            <w:r w:rsidR="002E58AF" w:rsidRPr="006A7B07">
              <w:rPr>
                <w:rStyle w:val="Hipervnculo"/>
                <w:rFonts w:cs="Arial"/>
                <w:noProof/>
                <w:lang w:eastAsia="es-ES"/>
              </w:rPr>
              <w:t>Entregable 5</w:t>
            </w:r>
            <w:r w:rsidR="002E58AF">
              <w:rPr>
                <w:noProof/>
                <w:webHidden/>
              </w:rPr>
              <w:tab/>
            </w:r>
            <w:r w:rsidR="002E58AF">
              <w:rPr>
                <w:noProof/>
                <w:webHidden/>
              </w:rPr>
              <w:fldChar w:fldCharType="begin"/>
            </w:r>
            <w:r w:rsidR="002E58AF">
              <w:rPr>
                <w:noProof/>
                <w:webHidden/>
              </w:rPr>
              <w:instrText xml:space="preserve"> PAGEREF _Toc476565893 \h </w:instrText>
            </w:r>
            <w:r w:rsidR="002E58AF">
              <w:rPr>
                <w:noProof/>
                <w:webHidden/>
              </w:rPr>
            </w:r>
            <w:r w:rsidR="002E58AF">
              <w:rPr>
                <w:noProof/>
                <w:webHidden/>
              </w:rPr>
              <w:fldChar w:fldCharType="separate"/>
            </w:r>
            <w:r w:rsidR="00D83858">
              <w:rPr>
                <w:noProof/>
                <w:webHidden/>
              </w:rPr>
              <w:t>1</w:t>
            </w:r>
            <w:r w:rsidR="002E58AF">
              <w:rPr>
                <w:noProof/>
                <w:webHidden/>
              </w:rPr>
              <w:fldChar w:fldCharType="end"/>
            </w:r>
          </w:hyperlink>
        </w:p>
        <w:p w:rsidR="002E58AF" w:rsidRDefault="00C44592">
          <w:pPr>
            <w:pStyle w:val="TDC2"/>
            <w:tabs>
              <w:tab w:val="left" w:pos="660"/>
              <w:tab w:val="right" w:leader="dot" w:pos="8494"/>
            </w:tabs>
            <w:rPr>
              <w:rFonts w:eastAsiaTheme="minorEastAsia"/>
              <w:noProof/>
              <w:lang w:eastAsia="es-ES"/>
            </w:rPr>
          </w:pPr>
          <w:hyperlink w:anchor="_Toc476565894" w:history="1">
            <w:r w:rsidR="002E58AF" w:rsidRPr="006A7B07">
              <w:rPr>
                <w:rStyle w:val="Hipervnculo"/>
                <w:noProof/>
              </w:rPr>
              <w:t>1.</w:t>
            </w:r>
            <w:r w:rsidR="002E58AF">
              <w:rPr>
                <w:rFonts w:eastAsiaTheme="minorEastAsia"/>
                <w:noProof/>
                <w:lang w:eastAsia="es-ES"/>
              </w:rPr>
              <w:tab/>
            </w:r>
            <w:r w:rsidR="002E58AF" w:rsidRPr="006A7B07">
              <w:rPr>
                <w:rStyle w:val="Hipervnculo"/>
                <w:noProof/>
              </w:rPr>
              <w:t>Introducción: objetivos y metodología</w:t>
            </w:r>
            <w:r w:rsidR="002E58AF">
              <w:rPr>
                <w:noProof/>
                <w:webHidden/>
              </w:rPr>
              <w:tab/>
            </w:r>
            <w:r w:rsidR="002E58AF">
              <w:rPr>
                <w:noProof/>
                <w:webHidden/>
              </w:rPr>
              <w:fldChar w:fldCharType="begin"/>
            </w:r>
            <w:r w:rsidR="002E58AF">
              <w:rPr>
                <w:noProof/>
                <w:webHidden/>
              </w:rPr>
              <w:instrText xml:space="preserve"> PAGEREF _Toc476565894 \h </w:instrText>
            </w:r>
            <w:r w:rsidR="002E58AF">
              <w:rPr>
                <w:noProof/>
                <w:webHidden/>
              </w:rPr>
            </w:r>
            <w:r w:rsidR="002E58AF">
              <w:rPr>
                <w:noProof/>
                <w:webHidden/>
              </w:rPr>
              <w:fldChar w:fldCharType="separate"/>
            </w:r>
            <w:r w:rsidR="00D83858">
              <w:rPr>
                <w:noProof/>
                <w:webHidden/>
              </w:rPr>
              <w:t>3</w:t>
            </w:r>
            <w:r w:rsidR="002E58AF">
              <w:rPr>
                <w:noProof/>
                <w:webHidden/>
              </w:rPr>
              <w:fldChar w:fldCharType="end"/>
            </w:r>
          </w:hyperlink>
        </w:p>
        <w:p w:rsidR="002E58AF" w:rsidRDefault="00C44592">
          <w:pPr>
            <w:pStyle w:val="TDC2"/>
            <w:tabs>
              <w:tab w:val="left" w:pos="660"/>
              <w:tab w:val="right" w:leader="dot" w:pos="8494"/>
            </w:tabs>
            <w:rPr>
              <w:rFonts w:eastAsiaTheme="minorEastAsia"/>
              <w:noProof/>
              <w:lang w:eastAsia="es-ES"/>
            </w:rPr>
          </w:pPr>
          <w:hyperlink w:anchor="_Toc476565895" w:history="1">
            <w:r w:rsidR="002E58AF" w:rsidRPr="006A7B07">
              <w:rPr>
                <w:rStyle w:val="Hipervnculo"/>
                <w:noProof/>
              </w:rPr>
              <w:t>2.</w:t>
            </w:r>
            <w:r w:rsidR="002E58AF">
              <w:rPr>
                <w:rFonts w:eastAsiaTheme="minorEastAsia"/>
                <w:noProof/>
                <w:lang w:eastAsia="es-ES"/>
              </w:rPr>
              <w:tab/>
            </w:r>
            <w:r w:rsidR="002E58AF" w:rsidRPr="006A7B07">
              <w:rPr>
                <w:rStyle w:val="Hipervnculo"/>
                <w:noProof/>
              </w:rPr>
              <w:t>Resultados</w:t>
            </w:r>
            <w:r w:rsidR="002E58AF">
              <w:rPr>
                <w:noProof/>
                <w:webHidden/>
              </w:rPr>
              <w:tab/>
            </w:r>
            <w:r w:rsidR="002E58AF">
              <w:rPr>
                <w:noProof/>
                <w:webHidden/>
              </w:rPr>
              <w:fldChar w:fldCharType="begin"/>
            </w:r>
            <w:r w:rsidR="002E58AF">
              <w:rPr>
                <w:noProof/>
                <w:webHidden/>
              </w:rPr>
              <w:instrText xml:space="preserve"> PAGEREF _Toc476565895 \h </w:instrText>
            </w:r>
            <w:r w:rsidR="002E58AF">
              <w:rPr>
                <w:noProof/>
                <w:webHidden/>
              </w:rPr>
            </w:r>
            <w:r w:rsidR="002E58AF">
              <w:rPr>
                <w:noProof/>
                <w:webHidden/>
              </w:rPr>
              <w:fldChar w:fldCharType="separate"/>
            </w:r>
            <w:r w:rsidR="00D83858">
              <w:rPr>
                <w:noProof/>
                <w:webHidden/>
              </w:rPr>
              <w:t>3</w:t>
            </w:r>
            <w:r w:rsidR="002E58AF">
              <w:rPr>
                <w:noProof/>
                <w:webHidden/>
              </w:rPr>
              <w:fldChar w:fldCharType="end"/>
            </w:r>
          </w:hyperlink>
        </w:p>
        <w:p w:rsidR="002E58AF" w:rsidRDefault="00C44592">
          <w:pPr>
            <w:pStyle w:val="TDC3"/>
            <w:tabs>
              <w:tab w:val="left" w:pos="1100"/>
              <w:tab w:val="right" w:leader="dot" w:pos="8494"/>
            </w:tabs>
            <w:rPr>
              <w:rFonts w:eastAsiaTheme="minorEastAsia"/>
              <w:noProof/>
              <w:lang w:eastAsia="es-ES"/>
            </w:rPr>
          </w:pPr>
          <w:hyperlink w:anchor="_Toc476565896" w:history="1">
            <w:r w:rsidR="002E58AF" w:rsidRPr="006A7B07">
              <w:rPr>
                <w:rStyle w:val="Hipervnculo"/>
                <w:noProof/>
              </w:rPr>
              <w:t>2.1.</w:t>
            </w:r>
            <w:r w:rsidR="002E58AF">
              <w:rPr>
                <w:rFonts w:eastAsiaTheme="minorEastAsia"/>
                <w:noProof/>
                <w:lang w:eastAsia="es-ES"/>
              </w:rPr>
              <w:tab/>
            </w:r>
            <w:r w:rsidR="002E58AF" w:rsidRPr="006A7B07">
              <w:rPr>
                <w:rStyle w:val="Hipervnculo"/>
                <w:noProof/>
              </w:rPr>
              <w:t>Categorías temáticas</w:t>
            </w:r>
            <w:r w:rsidR="002E58AF">
              <w:rPr>
                <w:noProof/>
                <w:webHidden/>
              </w:rPr>
              <w:tab/>
            </w:r>
            <w:r w:rsidR="002E58AF">
              <w:rPr>
                <w:noProof/>
                <w:webHidden/>
              </w:rPr>
              <w:fldChar w:fldCharType="begin"/>
            </w:r>
            <w:r w:rsidR="002E58AF">
              <w:rPr>
                <w:noProof/>
                <w:webHidden/>
              </w:rPr>
              <w:instrText xml:space="preserve"> PAGEREF _Toc476565896 \h </w:instrText>
            </w:r>
            <w:r w:rsidR="002E58AF">
              <w:rPr>
                <w:noProof/>
                <w:webHidden/>
              </w:rPr>
            </w:r>
            <w:r w:rsidR="002E58AF">
              <w:rPr>
                <w:noProof/>
                <w:webHidden/>
              </w:rPr>
              <w:fldChar w:fldCharType="separate"/>
            </w:r>
            <w:r w:rsidR="00D83858">
              <w:rPr>
                <w:noProof/>
                <w:webHidden/>
              </w:rPr>
              <w:t>4</w:t>
            </w:r>
            <w:r w:rsidR="002E58AF">
              <w:rPr>
                <w:noProof/>
                <w:webHidden/>
              </w:rPr>
              <w:fldChar w:fldCharType="end"/>
            </w:r>
          </w:hyperlink>
        </w:p>
        <w:p w:rsidR="002E58AF" w:rsidRDefault="00C44592">
          <w:pPr>
            <w:pStyle w:val="TDC3"/>
            <w:tabs>
              <w:tab w:val="left" w:pos="1100"/>
              <w:tab w:val="right" w:leader="dot" w:pos="8494"/>
            </w:tabs>
            <w:rPr>
              <w:rFonts w:eastAsiaTheme="minorEastAsia"/>
              <w:noProof/>
              <w:lang w:eastAsia="es-ES"/>
            </w:rPr>
          </w:pPr>
          <w:hyperlink w:anchor="_Toc476565897" w:history="1">
            <w:r w:rsidR="002E58AF" w:rsidRPr="006A7B07">
              <w:rPr>
                <w:rStyle w:val="Hipervnculo"/>
                <w:noProof/>
              </w:rPr>
              <w:t>2.2.</w:t>
            </w:r>
            <w:r w:rsidR="002E58AF">
              <w:rPr>
                <w:rFonts w:eastAsiaTheme="minorEastAsia"/>
                <w:noProof/>
                <w:lang w:eastAsia="es-ES"/>
              </w:rPr>
              <w:tab/>
            </w:r>
            <w:r w:rsidR="002E58AF" w:rsidRPr="006A7B07">
              <w:rPr>
                <w:rStyle w:val="Hipervnculo"/>
                <w:noProof/>
              </w:rPr>
              <w:t>Porcentaje de frecuencias por grupo de fuentes</w:t>
            </w:r>
            <w:r w:rsidR="002E58AF">
              <w:rPr>
                <w:noProof/>
                <w:webHidden/>
              </w:rPr>
              <w:tab/>
            </w:r>
            <w:r w:rsidR="002E58AF">
              <w:rPr>
                <w:noProof/>
                <w:webHidden/>
              </w:rPr>
              <w:fldChar w:fldCharType="begin"/>
            </w:r>
            <w:r w:rsidR="002E58AF">
              <w:rPr>
                <w:noProof/>
                <w:webHidden/>
              </w:rPr>
              <w:instrText xml:space="preserve"> PAGEREF _Toc476565897 \h </w:instrText>
            </w:r>
            <w:r w:rsidR="002E58AF">
              <w:rPr>
                <w:noProof/>
                <w:webHidden/>
              </w:rPr>
            </w:r>
            <w:r w:rsidR="002E58AF">
              <w:rPr>
                <w:noProof/>
                <w:webHidden/>
              </w:rPr>
              <w:fldChar w:fldCharType="separate"/>
            </w:r>
            <w:r w:rsidR="00D83858">
              <w:rPr>
                <w:noProof/>
                <w:webHidden/>
              </w:rPr>
              <w:t>7</w:t>
            </w:r>
            <w:r w:rsidR="002E58AF">
              <w:rPr>
                <w:noProof/>
                <w:webHidden/>
              </w:rPr>
              <w:fldChar w:fldCharType="end"/>
            </w:r>
          </w:hyperlink>
        </w:p>
        <w:p w:rsidR="002E58AF" w:rsidRDefault="00C44592">
          <w:pPr>
            <w:pStyle w:val="TDC2"/>
            <w:tabs>
              <w:tab w:val="left" w:pos="660"/>
              <w:tab w:val="right" w:leader="dot" w:pos="8494"/>
            </w:tabs>
            <w:rPr>
              <w:rFonts w:eastAsiaTheme="minorEastAsia"/>
              <w:noProof/>
              <w:lang w:eastAsia="es-ES"/>
            </w:rPr>
          </w:pPr>
          <w:hyperlink w:anchor="_Toc476565898" w:history="1">
            <w:r w:rsidR="002E58AF" w:rsidRPr="006A7B07">
              <w:rPr>
                <w:rStyle w:val="Hipervnculo"/>
                <w:noProof/>
              </w:rPr>
              <w:t>3.</w:t>
            </w:r>
            <w:r w:rsidR="002E58AF">
              <w:rPr>
                <w:rFonts w:eastAsiaTheme="minorEastAsia"/>
                <w:noProof/>
                <w:lang w:eastAsia="es-ES"/>
              </w:rPr>
              <w:tab/>
            </w:r>
            <w:r w:rsidR="002E58AF" w:rsidRPr="006A7B07">
              <w:rPr>
                <w:rStyle w:val="Hipervnculo"/>
                <w:noProof/>
              </w:rPr>
              <w:t>Conclusiones: la tendencia en innovación y desarrollo de TICs accesibles</w:t>
            </w:r>
            <w:r w:rsidR="002E58AF">
              <w:rPr>
                <w:noProof/>
                <w:webHidden/>
              </w:rPr>
              <w:tab/>
            </w:r>
            <w:r w:rsidR="002E58AF">
              <w:rPr>
                <w:noProof/>
                <w:webHidden/>
              </w:rPr>
              <w:fldChar w:fldCharType="begin"/>
            </w:r>
            <w:r w:rsidR="002E58AF">
              <w:rPr>
                <w:noProof/>
                <w:webHidden/>
              </w:rPr>
              <w:instrText xml:space="preserve"> PAGEREF _Toc476565898 \h </w:instrText>
            </w:r>
            <w:r w:rsidR="002E58AF">
              <w:rPr>
                <w:noProof/>
                <w:webHidden/>
              </w:rPr>
            </w:r>
            <w:r w:rsidR="002E58AF">
              <w:rPr>
                <w:noProof/>
                <w:webHidden/>
              </w:rPr>
              <w:fldChar w:fldCharType="separate"/>
            </w:r>
            <w:r w:rsidR="00D83858">
              <w:rPr>
                <w:noProof/>
                <w:webHidden/>
              </w:rPr>
              <w:t>9</w:t>
            </w:r>
            <w:r w:rsidR="002E58AF">
              <w:rPr>
                <w:noProof/>
                <w:webHidden/>
              </w:rPr>
              <w:fldChar w:fldCharType="end"/>
            </w:r>
          </w:hyperlink>
        </w:p>
        <w:p w:rsidR="002E58AF" w:rsidRDefault="00C44592">
          <w:pPr>
            <w:pStyle w:val="TDC2"/>
            <w:tabs>
              <w:tab w:val="left" w:pos="660"/>
              <w:tab w:val="right" w:leader="dot" w:pos="8494"/>
            </w:tabs>
            <w:rPr>
              <w:rFonts w:eastAsiaTheme="minorEastAsia"/>
              <w:noProof/>
              <w:lang w:eastAsia="es-ES"/>
            </w:rPr>
          </w:pPr>
          <w:hyperlink w:anchor="_Toc476565899" w:history="1">
            <w:r w:rsidR="002E58AF" w:rsidRPr="006A7B07">
              <w:rPr>
                <w:rStyle w:val="Hipervnculo"/>
                <w:noProof/>
              </w:rPr>
              <w:t>4.</w:t>
            </w:r>
            <w:r w:rsidR="002E58AF">
              <w:rPr>
                <w:rFonts w:eastAsiaTheme="minorEastAsia"/>
                <w:noProof/>
                <w:lang w:eastAsia="es-ES"/>
              </w:rPr>
              <w:tab/>
            </w:r>
            <w:r w:rsidR="002E58AF" w:rsidRPr="006A7B07">
              <w:rPr>
                <w:rStyle w:val="Hipervnculo"/>
                <w:noProof/>
              </w:rPr>
              <w:t>Anexo A</w:t>
            </w:r>
            <w:r w:rsidR="002E58AF">
              <w:rPr>
                <w:noProof/>
                <w:webHidden/>
              </w:rPr>
              <w:tab/>
            </w:r>
            <w:r w:rsidR="002E58AF">
              <w:rPr>
                <w:noProof/>
                <w:webHidden/>
              </w:rPr>
              <w:fldChar w:fldCharType="begin"/>
            </w:r>
            <w:r w:rsidR="002E58AF">
              <w:rPr>
                <w:noProof/>
                <w:webHidden/>
              </w:rPr>
              <w:instrText xml:space="preserve"> PAGEREF _Toc476565899 \h </w:instrText>
            </w:r>
            <w:r w:rsidR="002E58AF">
              <w:rPr>
                <w:noProof/>
                <w:webHidden/>
              </w:rPr>
            </w:r>
            <w:r w:rsidR="002E58AF">
              <w:rPr>
                <w:noProof/>
                <w:webHidden/>
              </w:rPr>
              <w:fldChar w:fldCharType="separate"/>
            </w:r>
            <w:r w:rsidR="00D83858">
              <w:rPr>
                <w:noProof/>
                <w:webHidden/>
              </w:rPr>
              <w:t>10</w:t>
            </w:r>
            <w:r w:rsidR="002E58AF">
              <w:rPr>
                <w:noProof/>
                <w:webHidden/>
              </w:rPr>
              <w:fldChar w:fldCharType="end"/>
            </w:r>
          </w:hyperlink>
        </w:p>
        <w:p w:rsidR="00A10C54" w:rsidRDefault="00A10C54">
          <w:r>
            <w:rPr>
              <w:b/>
              <w:bCs/>
            </w:rPr>
            <w:fldChar w:fldCharType="end"/>
          </w:r>
        </w:p>
      </w:sdtContent>
    </w:sdt>
    <w:p w:rsidR="00A10C54" w:rsidRDefault="00A10C54">
      <w:pPr>
        <w:rPr>
          <w:rFonts w:eastAsiaTheme="majorEastAsia" w:cstheme="majorBidi"/>
          <w:b/>
          <w:bCs/>
          <w:sz w:val="26"/>
          <w:szCs w:val="26"/>
        </w:rPr>
      </w:pPr>
      <w:r>
        <w:br w:type="page"/>
      </w:r>
    </w:p>
    <w:p w:rsidR="000C6AA0" w:rsidRPr="00C83864" w:rsidRDefault="00792489" w:rsidP="00C83864">
      <w:pPr>
        <w:pStyle w:val="Ttulo2"/>
        <w:numPr>
          <w:ilvl w:val="0"/>
          <w:numId w:val="4"/>
        </w:numPr>
        <w:rPr>
          <w:rFonts w:asciiTheme="minorHAnsi" w:hAnsiTheme="minorHAnsi"/>
          <w:color w:val="auto"/>
        </w:rPr>
      </w:pPr>
      <w:bookmarkStart w:id="5" w:name="_Toc476565894"/>
      <w:r w:rsidRPr="00C83864">
        <w:rPr>
          <w:rFonts w:asciiTheme="minorHAnsi" w:hAnsiTheme="minorHAnsi"/>
          <w:color w:val="auto"/>
        </w:rPr>
        <w:lastRenderedPageBreak/>
        <w:t>Introducción: objetivos y metodología</w:t>
      </w:r>
      <w:bookmarkEnd w:id="5"/>
      <w:r w:rsidRPr="00C83864">
        <w:rPr>
          <w:rFonts w:asciiTheme="minorHAnsi" w:hAnsiTheme="minorHAnsi"/>
          <w:color w:val="auto"/>
        </w:rPr>
        <w:t xml:space="preserve"> </w:t>
      </w:r>
    </w:p>
    <w:p w:rsidR="00267C4E" w:rsidRDefault="009B14F2" w:rsidP="00C045AA">
      <w:pPr>
        <w:spacing w:before="240" w:after="240"/>
      </w:pPr>
      <w:r>
        <w:t>En este informe se presentan los resultados</w:t>
      </w:r>
      <w:r w:rsidR="00B12739">
        <w:t xml:space="preserve"> del análisis realizado</w:t>
      </w:r>
      <w:r>
        <w:t xml:space="preserve"> </w:t>
      </w:r>
      <w:r w:rsidR="00D92003">
        <w:t>a lo largo del año 2016</w:t>
      </w:r>
      <w:r w:rsidR="009964DA">
        <w:t>,</w:t>
      </w:r>
      <w:r w:rsidR="00D92003">
        <w:t xml:space="preserve"> contemplado </w:t>
      </w:r>
      <w:r>
        <w:t>dentro del Plan de vigilancia de tecnología para todos</w:t>
      </w:r>
      <w:r w:rsidR="005E566C">
        <w:t>.</w:t>
      </w:r>
      <w:r w:rsidR="00267C4E">
        <w:t xml:space="preserve"> El plan tiene el objetivo de conocer las tendencias en innovación y desarrollo de las tecnologías de la información y la comunicación (TIC) accesibles. Se trata de una serie de estudios que consisten en la realización de una búsqueda focalizada de información sobre investigaciones y desarrollo de productos y servicios basados en las TIC accesibles.</w:t>
      </w:r>
      <w:r w:rsidR="005E566C">
        <w:t xml:space="preserve"> </w:t>
      </w:r>
    </w:p>
    <w:p w:rsidR="00CA1ED7" w:rsidRDefault="009A4ABF" w:rsidP="00376972">
      <w:pPr>
        <w:spacing w:before="240" w:after="240"/>
      </w:pPr>
      <w:r>
        <w:t xml:space="preserve">Para las búsquedas </w:t>
      </w:r>
      <w:r w:rsidR="0077004A">
        <w:t xml:space="preserve">de información </w:t>
      </w:r>
      <w:r>
        <w:t xml:space="preserve">se tuvo en cuenta la </w:t>
      </w:r>
      <w:r w:rsidR="00C927DA">
        <w:t>publicada por la</w:t>
      </w:r>
      <w:r w:rsidR="0077004A">
        <w:t>s</w:t>
      </w:r>
      <w:r>
        <w:t xml:space="preserve"> siguientes fuentes:</w:t>
      </w:r>
    </w:p>
    <w:p w:rsidR="00CA1ED7" w:rsidRDefault="009A4ABF" w:rsidP="008A064A">
      <w:pPr>
        <w:pStyle w:val="Prrafodelista"/>
        <w:numPr>
          <w:ilvl w:val="0"/>
          <w:numId w:val="25"/>
        </w:numPr>
        <w:spacing w:before="240" w:after="240"/>
      </w:pPr>
      <w:r>
        <w:t>Organismos gubernamentales (Horizonte 2020</w:t>
      </w:r>
      <w:r w:rsidR="00385656">
        <w:t xml:space="preserve">, </w:t>
      </w:r>
      <w:r w:rsidR="008A064A">
        <w:t>grants.gov</w:t>
      </w:r>
      <w:r w:rsidR="00385656">
        <w:t xml:space="preserve"> y otros</w:t>
      </w:r>
      <w:r>
        <w:t>)</w:t>
      </w:r>
    </w:p>
    <w:p w:rsidR="008A064A" w:rsidRDefault="008A064A" w:rsidP="008A064A">
      <w:pPr>
        <w:pStyle w:val="Prrafodelista"/>
        <w:numPr>
          <w:ilvl w:val="0"/>
          <w:numId w:val="25"/>
        </w:numPr>
        <w:spacing w:before="240" w:after="240"/>
      </w:pPr>
      <w:r>
        <w:t>Universidades</w:t>
      </w:r>
      <w:r w:rsidR="00B22680">
        <w:t xml:space="preserve"> (españolas e internacionales)</w:t>
      </w:r>
    </w:p>
    <w:p w:rsidR="008A064A" w:rsidRDefault="008A064A" w:rsidP="008A064A">
      <w:pPr>
        <w:pStyle w:val="Prrafodelista"/>
        <w:numPr>
          <w:ilvl w:val="0"/>
          <w:numId w:val="25"/>
        </w:numPr>
        <w:spacing w:before="240" w:after="240"/>
      </w:pPr>
      <w:r>
        <w:t>Grandes empresas (Telefónica, Google, Microsoft, Disney, etc.)</w:t>
      </w:r>
    </w:p>
    <w:p w:rsidR="008A064A" w:rsidRDefault="008A064A" w:rsidP="008A064A">
      <w:pPr>
        <w:pStyle w:val="Prrafodelista"/>
        <w:numPr>
          <w:ilvl w:val="0"/>
          <w:numId w:val="25"/>
        </w:numPr>
        <w:spacing w:before="240" w:after="240"/>
      </w:pPr>
      <w:proofErr w:type="spellStart"/>
      <w:r>
        <w:t>Startups</w:t>
      </w:r>
      <w:proofErr w:type="spellEnd"/>
      <w:r>
        <w:t xml:space="preserve"> (empresas incipientes)</w:t>
      </w:r>
    </w:p>
    <w:p w:rsidR="00CA1ED7" w:rsidRDefault="00267C4E" w:rsidP="00CA1ED7">
      <w:r>
        <w:t>Además, l</w:t>
      </w:r>
      <w:r w:rsidR="00CA1ED7">
        <w:t>os datos recopilados fueron</w:t>
      </w:r>
      <w:r w:rsidR="0077004A">
        <w:t xml:space="preserve"> convertidos en entradas y agregados manualmente a una tabla de Excel.</w:t>
      </w:r>
      <w:r w:rsidR="00CD367D">
        <w:t xml:space="preserve"> </w:t>
      </w:r>
      <w:r w:rsidR="00CA1ED7">
        <w:t>Asimismo, a cada una de las entradas se le asignaron etiquetas (</w:t>
      </w:r>
      <w:proofErr w:type="spellStart"/>
      <w:r w:rsidR="00CA1ED7">
        <w:t>tags</w:t>
      </w:r>
      <w:proofErr w:type="spellEnd"/>
      <w:r w:rsidR="00CA1ED7">
        <w:t>) que se refieren a los temas sob</w:t>
      </w:r>
      <w:r w:rsidR="00FA443B">
        <w:t>re los que trata la información</w:t>
      </w:r>
      <w:r w:rsidR="00B22680">
        <w:t xml:space="preserve">. </w:t>
      </w:r>
      <w:r w:rsidR="00C426D1">
        <w:t>P</w:t>
      </w:r>
      <w:r w:rsidR="00FA443B">
        <w:t>osteriormente,</w:t>
      </w:r>
      <w:r w:rsidR="00C927DA">
        <w:t xml:space="preserve"> </w:t>
      </w:r>
      <w:r w:rsidR="00C426D1">
        <w:t>se llevó a cabo un análisis categorial temático</w:t>
      </w:r>
      <w:r w:rsidR="0084530D">
        <w:t xml:space="preserve"> y se calculó el porcentaje de frecuencia de cada una de las categorías</w:t>
      </w:r>
      <w:r w:rsidR="00A5310F">
        <w:t xml:space="preserve"> obtenidas</w:t>
      </w:r>
      <w:r w:rsidR="00C426D1">
        <w:t xml:space="preserve">. </w:t>
      </w:r>
    </w:p>
    <w:p w:rsidR="002E2399" w:rsidRPr="00C83864" w:rsidRDefault="002E2399" w:rsidP="00C83864">
      <w:pPr>
        <w:pStyle w:val="Ttulo2"/>
        <w:numPr>
          <w:ilvl w:val="0"/>
          <w:numId w:val="4"/>
        </w:numPr>
        <w:rPr>
          <w:rFonts w:asciiTheme="minorHAnsi" w:hAnsiTheme="minorHAnsi"/>
          <w:color w:val="auto"/>
        </w:rPr>
      </w:pPr>
      <w:bookmarkStart w:id="6" w:name="_Toc476565895"/>
      <w:r w:rsidRPr="00C83864">
        <w:rPr>
          <w:rFonts w:asciiTheme="minorHAnsi" w:hAnsiTheme="minorHAnsi"/>
          <w:color w:val="auto"/>
        </w:rPr>
        <w:t>Resultados</w:t>
      </w:r>
      <w:bookmarkEnd w:id="6"/>
    </w:p>
    <w:p w:rsidR="006C3B90" w:rsidRDefault="00C84E57" w:rsidP="00231E59">
      <w:pPr>
        <w:spacing w:before="240" w:after="240"/>
      </w:pPr>
      <w:r>
        <w:t xml:space="preserve">La suma de los datos de los </w:t>
      </w:r>
      <w:r w:rsidR="00EA530F">
        <w:t>dos</w:t>
      </w:r>
      <w:r>
        <w:t xml:space="preserve"> estudios</w:t>
      </w:r>
      <w:r w:rsidR="0084530D">
        <w:t xml:space="preserve"> </w:t>
      </w:r>
      <w:r>
        <w:t>realizados</w:t>
      </w:r>
      <w:r w:rsidR="0084530D">
        <w:t xml:space="preserve"> a lo largo de 2016</w:t>
      </w:r>
      <w:r>
        <w:t xml:space="preserve"> arrojó un total de</w:t>
      </w:r>
      <w:r w:rsidR="00231E59">
        <w:t xml:space="preserve"> </w:t>
      </w:r>
      <w:r w:rsidR="00CA4E4E">
        <w:t>1246</w:t>
      </w:r>
      <w:r w:rsidR="00D801DD">
        <w:t xml:space="preserve"> entradas</w:t>
      </w:r>
      <w:r w:rsidR="006C3B90">
        <w:t>. De ellas,</w:t>
      </w:r>
      <w:r w:rsidR="00BD781E">
        <w:t xml:space="preserve"> </w:t>
      </w:r>
      <w:r w:rsidR="00190EAF">
        <w:t>494</w:t>
      </w:r>
      <w:r w:rsidR="00231E59">
        <w:t xml:space="preserve"> proceden de fuentes gubernamentales (</w:t>
      </w:r>
      <w:r w:rsidR="00E64FB2">
        <w:t>grants.gov</w:t>
      </w:r>
      <w:r w:rsidR="00231E59">
        <w:t xml:space="preserve"> </w:t>
      </w:r>
      <w:r w:rsidR="00190EAF">
        <w:t>268</w:t>
      </w:r>
      <w:r w:rsidR="00231E59">
        <w:t xml:space="preserve">; H2020, </w:t>
      </w:r>
      <w:r w:rsidR="00190EAF">
        <w:t>226</w:t>
      </w:r>
      <w:r w:rsidR="00231E59">
        <w:t xml:space="preserve">); </w:t>
      </w:r>
      <w:r w:rsidR="00190EAF">
        <w:t>276 de universidades</w:t>
      </w:r>
      <w:r w:rsidR="00231E59">
        <w:t xml:space="preserve">; </w:t>
      </w:r>
      <w:r w:rsidR="00190EAF">
        <w:t>191</w:t>
      </w:r>
      <w:r w:rsidR="00231E59">
        <w:t xml:space="preserve"> de </w:t>
      </w:r>
      <w:proofErr w:type="spellStart"/>
      <w:r w:rsidR="00231E59">
        <w:t>startups</w:t>
      </w:r>
      <w:proofErr w:type="spellEnd"/>
      <w:r w:rsidR="00231E59">
        <w:t xml:space="preserve"> y </w:t>
      </w:r>
      <w:r w:rsidR="00190EAF">
        <w:t>108</w:t>
      </w:r>
      <w:r w:rsidR="00231E59">
        <w:t xml:space="preserve"> de grandes empresas. </w:t>
      </w:r>
    </w:p>
    <w:p w:rsidR="00231E59" w:rsidRDefault="00697D75" w:rsidP="00231E59">
      <w:pPr>
        <w:spacing w:before="240" w:after="240"/>
      </w:pPr>
      <w:r>
        <w:t xml:space="preserve">El </w:t>
      </w:r>
      <w:r w:rsidR="007D5A3A">
        <w:t>21</w:t>
      </w:r>
      <w:r w:rsidR="00DA63B1">
        <w:t>%</w:t>
      </w:r>
      <w:r>
        <w:t xml:space="preserve"> de esa información trata sobre proyectos y soluciones específicas para la discapacidad</w:t>
      </w:r>
      <w:r w:rsidR="00C84E57">
        <w:t xml:space="preserve">. </w:t>
      </w:r>
      <w:r w:rsidR="00497C59">
        <w:t>C</w:t>
      </w:r>
      <w:r w:rsidR="00DA63B1">
        <w:t>omo</w:t>
      </w:r>
      <w:r w:rsidR="007F039B">
        <w:t xml:space="preserve"> puede</w:t>
      </w:r>
      <w:r w:rsidR="00C84E57">
        <w:t xml:space="preserve"> verse en la Figura 1, </w:t>
      </w:r>
      <w:r w:rsidR="004D197A">
        <w:t xml:space="preserve">el </w:t>
      </w:r>
      <w:r w:rsidR="007D5A3A">
        <w:t>29</w:t>
      </w:r>
      <w:r w:rsidR="00DA63B1">
        <w:t>%</w:t>
      </w:r>
      <w:r w:rsidR="004D197A">
        <w:t xml:space="preserve"> </w:t>
      </w:r>
      <w:r w:rsidR="00B4013B">
        <w:t>se refiere</w:t>
      </w:r>
      <w:r w:rsidR="006C3B90">
        <w:t xml:space="preserve"> </w:t>
      </w:r>
      <w:r w:rsidR="004D636D">
        <w:t>a</w:t>
      </w:r>
      <w:r w:rsidR="006C3B90">
        <w:t xml:space="preserve"> los datos hace referencia a soluciones o servicios para </w:t>
      </w:r>
      <w:r w:rsidR="004D197A">
        <w:t>la discapacidad física</w:t>
      </w:r>
      <w:r w:rsidR="00680284">
        <w:t>;</w:t>
      </w:r>
      <w:r w:rsidR="00C30C57">
        <w:t xml:space="preserve"> </w:t>
      </w:r>
      <w:r w:rsidR="00433F2F">
        <w:t xml:space="preserve">el 16% </w:t>
      </w:r>
      <w:r w:rsidR="006C3B90">
        <w:t>para las</w:t>
      </w:r>
      <w:r w:rsidR="00433F2F">
        <w:t xml:space="preserve"> personas mayores; el 15% </w:t>
      </w:r>
      <w:r w:rsidR="006C3B90">
        <w:t>p</w:t>
      </w:r>
      <w:r w:rsidR="00433F2F">
        <w:t>a</w:t>
      </w:r>
      <w:r w:rsidR="006C3B90">
        <w:t>ra</w:t>
      </w:r>
      <w:r w:rsidR="00433F2F">
        <w:t xml:space="preserve"> la discapacidad visual; 13%,</w:t>
      </w:r>
      <w:r w:rsidR="006C3B90">
        <w:t xml:space="preserve"> para la</w:t>
      </w:r>
      <w:r w:rsidR="00433F2F">
        <w:t xml:space="preserve"> discapacidad cognitiva; 12% </w:t>
      </w:r>
      <w:r w:rsidR="006C3B90">
        <w:t xml:space="preserve">para </w:t>
      </w:r>
      <w:r w:rsidR="00433F2F">
        <w:t xml:space="preserve">todas las discapacidades; 8% </w:t>
      </w:r>
      <w:r w:rsidR="006C3B90">
        <w:t>para condiciones crónicas; y</w:t>
      </w:r>
      <w:r w:rsidR="00433F2F">
        <w:t xml:space="preserve"> 7% </w:t>
      </w:r>
      <w:r w:rsidR="006C3B90">
        <w:t xml:space="preserve">para la </w:t>
      </w:r>
      <w:r w:rsidR="00433F2F">
        <w:t>discapacidad auditiva</w:t>
      </w:r>
      <w:r w:rsidR="005E7319">
        <w:t>.</w:t>
      </w:r>
    </w:p>
    <w:p w:rsidR="00267C4E" w:rsidRDefault="00267C4E">
      <w:r>
        <w:br w:type="page"/>
      </w:r>
    </w:p>
    <w:p w:rsidR="00710A1B" w:rsidRPr="00575ECF" w:rsidRDefault="00575ECF" w:rsidP="00575ECF">
      <w:pPr>
        <w:pStyle w:val="Epgrafe"/>
        <w:jc w:val="center"/>
        <w:rPr>
          <w:b w:val="0"/>
          <w:color w:val="auto"/>
          <w:sz w:val="22"/>
          <w:szCs w:val="22"/>
        </w:rPr>
      </w:pPr>
      <w:r w:rsidRPr="00575ECF">
        <w:rPr>
          <w:b w:val="0"/>
          <w:color w:val="auto"/>
          <w:sz w:val="22"/>
          <w:szCs w:val="22"/>
        </w:rPr>
        <w:lastRenderedPageBreak/>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D83858">
        <w:rPr>
          <w:b w:val="0"/>
          <w:noProof/>
          <w:color w:val="auto"/>
          <w:sz w:val="22"/>
          <w:szCs w:val="22"/>
        </w:rPr>
        <w:t>1</w:t>
      </w:r>
      <w:r w:rsidRPr="00575ECF">
        <w:rPr>
          <w:b w:val="0"/>
          <w:color w:val="auto"/>
          <w:sz w:val="22"/>
          <w:szCs w:val="22"/>
        </w:rPr>
        <w:fldChar w:fldCharType="end"/>
      </w:r>
      <w:r w:rsidRPr="00575ECF">
        <w:rPr>
          <w:b w:val="0"/>
          <w:color w:val="auto"/>
          <w:sz w:val="22"/>
          <w:szCs w:val="22"/>
        </w:rPr>
        <w:t>. Representación de la discapacidad en la información analizada (n=286)</w:t>
      </w:r>
    </w:p>
    <w:p w:rsidR="00710A1B" w:rsidRDefault="009E3381" w:rsidP="00710A1B">
      <w:pPr>
        <w:spacing w:before="240" w:after="240"/>
        <w:jc w:val="center"/>
      </w:pPr>
      <w:r>
        <w:rPr>
          <w:noProof/>
          <w:lang w:eastAsia="es-ES"/>
        </w:rPr>
        <w:drawing>
          <wp:inline distT="0" distB="0" distL="0" distR="0" wp14:anchorId="73E5CCBD" wp14:editId="75AB0E5C">
            <wp:extent cx="4572000" cy="2743200"/>
            <wp:effectExtent l="0" t="0" r="19050" b="19050"/>
            <wp:docPr id="3" name="Gráfico 3" title="Gráfico tipo anillo representando el procentaje de tipo de discapacidad en los dato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319" w:rsidRPr="00D14DDE" w:rsidRDefault="005E7319" w:rsidP="00D14DDE">
      <w:pPr>
        <w:pStyle w:val="Ttulo3"/>
        <w:numPr>
          <w:ilvl w:val="1"/>
          <w:numId w:val="4"/>
        </w:numPr>
        <w:rPr>
          <w:rFonts w:asciiTheme="minorHAnsi" w:hAnsiTheme="minorHAnsi"/>
          <w:color w:val="auto"/>
        </w:rPr>
      </w:pPr>
      <w:bookmarkStart w:id="7" w:name="_Toc476565896"/>
      <w:r w:rsidRPr="00D14DDE">
        <w:rPr>
          <w:rFonts w:asciiTheme="minorHAnsi" w:hAnsiTheme="minorHAnsi"/>
          <w:color w:val="auto"/>
        </w:rPr>
        <w:t>Categorías temáticas</w:t>
      </w:r>
      <w:bookmarkEnd w:id="7"/>
    </w:p>
    <w:p w:rsidR="005E7319" w:rsidRDefault="007F039B" w:rsidP="00110909">
      <w:pPr>
        <w:spacing w:before="240" w:after="240"/>
      </w:pPr>
      <w:r>
        <w:t xml:space="preserve">Tras convertir las </w:t>
      </w:r>
      <w:r w:rsidR="002254A9">
        <w:t>dos</w:t>
      </w:r>
      <w:r>
        <w:t xml:space="preserve"> muestras en una sola, se obtuvo </w:t>
      </w:r>
      <w:r w:rsidR="00911C0E">
        <w:t xml:space="preserve">un total de </w:t>
      </w:r>
      <w:r w:rsidR="00FA7AE2">
        <w:t>524</w:t>
      </w:r>
      <w:r w:rsidR="00911C0E">
        <w:t xml:space="preserve"> etiquetas individuales que fueron </w:t>
      </w:r>
      <w:r w:rsidR="00DE0199">
        <w:t xml:space="preserve">agrupadas en </w:t>
      </w:r>
      <w:r w:rsidR="00F8429C">
        <w:t>27</w:t>
      </w:r>
      <w:r w:rsidR="00DE0199">
        <w:t xml:space="preserve"> categorías temáticas. </w:t>
      </w:r>
      <w:r w:rsidR="00F72837">
        <w:t>En</w:t>
      </w:r>
      <w:r w:rsidR="00CD367D">
        <w:t xml:space="preserve"> la f</w:t>
      </w:r>
      <w:r w:rsidR="00DE0199">
        <w:t>igura 2</w:t>
      </w:r>
      <w:r w:rsidR="00906FFE">
        <w:t>,</w:t>
      </w:r>
      <w:r w:rsidR="00DE0199">
        <w:t xml:space="preserve"> se </w:t>
      </w:r>
      <w:r w:rsidR="00906FFE">
        <w:t xml:space="preserve">presentan </w:t>
      </w:r>
      <w:r w:rsidR="00F72837">
        <w:t>las categorías que representan un 5% o más de la muestra.</w:t>
      </w:r>
      <w:r w:rsidR="00DE0199">
        <w:t xml:space="preserve"> </w:t>
      </w:r>
    </w:p>
    <w:p w:rsidR="00F72837" w:rsidRDefault="00F72837">
      <w:r>
        <w:br w:type="page"/>
      </w:r>
    </w:p>
    <w:p w:rsidR="00DE0199" w:rsidRPr="00575ECF" w:rsidRDefault="00575ECF" w:rsidP="00575ECF">
      <w:pPr>
        <w:pStyle w:val="Epgrafe"/>
        <w:jc w:val="center"/>
        <w:rPr>
          <w:b w:val="0"/>
          <w:color w:val="auto"/>
          <w:sz w:val="22"/>
          <w:szCs w:val="22"/>
        </w:rPr>
      </w:pPr>
      <w:r w:rsidRPr="00575ECF">
        <w:rPr>
          <w:b w:val="0"/>
          <w:color w:val="auto"/>
          <w:sz w:val="22"/>
          <w:szCs w:val="22"/>
        </w:rPr>
        <w:lastRenderedPageBreak/>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D83858">
        <w:rPr>
          <w:b w:val="0"/>
          <w:noProof/>
          <w:color w:val="auto"/>
          <w:sz w:val="22"/>
          <w:szCs w:val="22"/>
        </w:rPr>
        <w:t>2</w:t>
      </w:r>
      <w:r w:rsidRPr="00575ECF">
        <w:rPr>
          <w:b w:val="0"/>
          <w:color w:val="auto"/>
          <w:sz w:val="22"/>
          <w:szCs w:val="22"/>
        </w:rPr>
        <w:fldChar w:fldCharType="end"/>
      </w:r>
      <w:r w:rsidRPr="00575ECF">
        <w:rPr>
          <w:b w:val="0"/>
          <w:color w:val="auto"/>
          <w:sz w:val="22"/>
          <w:szCs w:val="22"/>
        </w:rPr>
        <w:t>. Categorías con porcentaje de frecuencia mayor o igual al 5% (n=3284)</w:t>
      </w:r>
    </w:p>
    <w:p w:rsidR="00C51FE8" w:rsidRDefault="00DD2712" w:rsidP="00751228">
      <w:pPr>
        <w:spacing w:before="240" w:after="240"/>
        <w:jc w:val="center"/>
      </w:pPr>
      <w:r>
        <w:rPr>
          <w:noProof/>
          <w:lang w:eastAsia="es-ES"/>
        </w:rPr>
        <w:drawing>
          <wp:inline distT="0" distB="0" distL="0" distR="0" wp14:anchorId="68085214" wp14:editId="4CECBF87">
            <wp:extent cx="4572000" cy="2743200"/>
            <wp:effectExtent l="0" t="0" r="19050" b="19050"/>
            <wp:docPr id="8" name="Gráfico 8" title="Grafico tipo pastel en el que se presenta el porcentaje de frecuencia de las categorías con 5% o má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15DC" w:rsidRDefault="00F72837" w:rsidP="00751228">
      <w:pPr>
        <w:spacing w:before="240" w:after="240"/>
      </w:pPr>
      <w:r>
        <w:t>Como puede verse, l</w:t>
      </w:r>
      <w:r w:rsidR="00C677AE">
        <w:t xml:space="preserve">as categorías </w:t>
      </w:r>
      <w:r w:rsidR="00864AB1">
        <w:t>t</w:t>
      </w:r>
      <w:r w:rsidR="00C677AE">
        <w:t xml:space="preserve">ecnología </w:t>
      </w:r>
      <w:r>
        <w:t>m</w:t>
      </w:r>
      <w:r w:rsidR="0086103E">
        <w:t xml:space="preserve">óvil y </w:t>
      </w:r>
      <w:r w:rsidR="00864AB1">
        <w:t>r</w:t>
      </w:r>
      <w:r w:rsidR="0086103E">
        <w:t>obótica son las más frecuentes</w:t>
      </w:r>
      <w:r w:rsidR="007115DC">
        <w:t>,</w:t>
      </w:r>
      <w:r w:rsidR="0086103E">
        <w:t xml:space="preserve"> representando el 13 y 12% de </w:t>
      </w:r>
      <w:r>
        <w:t>los datos</w:t>
      </w:r>
      <w:r w:rsidR="0086103E">
        <w:t xml:space="preserve">, respectivamente. </w:t>
      </w:r>
      <w:r w:rsidR="004E53C5">
        <w:t xml:space="preserve">En la primera se agrupan temas relacionados con el desarrollo de </w:t>
      </w:r>
      <w:r w:rsidR="00452F2A">
        <w:t xml:space="preserve">tecnología </w:t>
      </w:r>
      <w:proofErr w:type="spellStart"/>
      <w:r w:rsidR="00452F2A">
        <w:t>ponible</w:t>
      </w:r>
      <w:proofErr w:type="spellEnd"/>
      <w:r w:rsidR="00452F2A">
        <w:t xml:space="preserve"> (</w:t>
      </w:r>
      <w:proofErr w:type="spellStart"/>
      <w:r w:rsidR="00452F2A">
        <w:t>wearables</w:t>
      </w:r>
      <w:proofErr w:type="spellEnd"/>
      <w:r w:rsidR="00452F2A">
        <w:t>) y de aplicaciones para e-</w:t>
      </w:r>
      <w:proofErr w:type="spellStart"/>
      <w:r w:rsidR="00452F2A">
        <w:t>commer</w:t>
      </w:r>
      <w:r>
        <w:t>ce</w:t>
      </w:r>
      <w:proofErr w:type="spellEnd"/>
      <w:r>
        <w:t xml:space="preserve"> o</w:t>
      </w:r>
      <w:r w:rsidR="00452F2A">
        <w:t xml:space="preserve"> </w:t>
      </w:r>
      <w:r>
        <w:t>soluciones inteligentes para negocios</w:t>
      </w:r>
      <w:r w:rsidR="004E53C5">
        <w:t>, entre otras</w:t>
      </w:r>
      <w:r w:rsidR="00452F2A">
        <w:t>.</w:t>
      </w:r>
    </w:p>
    <w:p w:rsidR="006C581A" w:rsidRDefault="004E53C5" w:rsidP="00452F2A">
      <w:pPr>
        <w:spacing w:before="240" w:after="240"/>
      </w:pPr>
      <w:r>
        <w:t xml:space="preserve">En la segunda, </w:t>
      </w:r>
      <w:r w:rsidR="00452F2A">
        <w:t xml:space="preserve">se incluyen temas sobre </w:t>
      </w:r>
      <w:r w:rsidR="002C2010">
        <w:t xml:space="preserve">interacción persona-robot, robots de asistencia y manipulación robótica. Estos últimos se centran en </w:t>
      </w:r>
      <w:r>
        <w:t>estudios que intentan conseguir que</w:t>
      </w:r>
      <w:r w:rsidR="002C2010">
        <w:t xml:space="preserve"> los robots sean capaces de agarrar objetos y hacer movimientos finos </w:t>
      </w:r>
      <w:r>
        <w:t xml:space="preserve">de la misma forma en que lo hacen los seres humanos. </w:t>
      </w:r>
    </w:p>
    <w:p w:rsidR="008A62AA" w:rsidRDefault="008A62AA" w:rsidP="00751228">
      <w:pPr>
        <w:spacing w:before="240" w:after="240"/>
      </w:pPr>
      <w:r>
        <w:t xml:space="preserve">A estas categorías le sigue </w:t>
      </w:r>
      <w:r w:rsidR="00864AB1">
        <w:t>s</w:t>
      </w:r>
      <w:r>
        <w:t xml:space="preserve">alud inteligente que supone el 8% de los datos. </w:t>
      </w:r>
      <w:r w:rsidR="00864AB1">
        <w:t xml:space="preserve">Una parte de estos temas tratan sobre soluciones para e-Salud y m-Salud. </w:t>
      </w:r>
      <w:r w:rsidR="00096331">
        <w:t>Asimismo, se incluyen</w:t>
      </w:r>
      <w:r w:rsidR="00864AB1">
        <w:t xml:space="preserve"> proyectos de desarrollo de equipamiento médico para los que se emplean diversas tecnologías, entre ellas, robótica, tecnología 3D y realidad virtual.</w:t>
      </w:r>
    </w:p>
    <w:p w:rsidR="00C44316" w:rsidRDefault="00FE026D" w:rsidP="00751228">
      <w:pPr>
        <w:spacing w:before="240" w:after="240"/>
      </w:pPr>
      <w:r>
        <w:t>Visión a</w:t>
      </w:r>
      <w:r w:rsidR="0086103E">
        <w:t>rtificial</w:t>
      </w:r>
      <w:r>
        <w:t xml:space="preserve"> y </w:t>
      </w:r>
      <w:r w:rsidR="00864AB1">
        <w:t>a</w:t>
      </w:r>
      <w:r>
        <w:t>prendizaje a</w:t>
      </w:r>
      <w:r w:rsidR="00864AB1">
        <w:t>utomático</w:t>
      </w:r>
      <w:r w:rsidR="0086103E">
        <w:t xml:space="preserve"> constituyen</w:t>
      </w:r>
      <w:r w:rsidR="00AE4252">
        <w:t>,</w:t>
      </w:r>
      <w:r w:rsidR="0086103E">
        <w:t xml:space="preserve"> cada una</w:t>
      </w:r>
      <w:r w:rsidR="00AE4252">
        <w:t>,</w:t>
      </w:r>
      <w:r w:rsidR="0086103E">
        <w:t xml:space="preserve"> el 7% de los datos</w:t>
      </w:r>
      <w:r w:rsidR="001B3BC0">
        <w:t xml:space="preserve">. </w:t>
      </w:r>
      <w:r w:rsidR="00546648">
        <w:t xml:space="preserve">En la primera, </w:t>
      </w:r>
      <w:r w:rsidR="00D81B6F">
        <w:t>se agrupa información sobre</w:t>
      </w:r>
      <w:r w:rsidR="00116545">
        <w:t xml:space="preserve"> </w:t>
      </w:r>
      <w:r w:rsidR="0024157F">
        <w:t>proyectos relac</w:t>
      </w:r>
      <w:r w:rsidR="00116545">
        <w:t>ionados con la realidad virtual</w:t>
      </w:r>
      <w:r w:rsidR="0024157F">
        <w:t xml:space="preserve"> </w:t>
      </w:r>
      <w:r w:rsidR="004E53C5">
        <w:t>para soluciones educativas, de ocio (videojuegos) e incluso médicas. E</w:t>
      </w:r>
      <w:r w:rsidR="00430345">
        <w:t>n la segunda</w:t>
      </w:r>
      <w:r w:rsidR="0024157F">
        <w:t>,</w:t>
      </w:r>
      <w:r w:rsidR="00430345">
        <w:t xml:space="preserve"> se incluyen temas sobre el desarrollo de</w:t>
      </w:r>
      <w:r w:rsidR="0024157F">
        <w:t xml:space="preserve"> </w:t>
      </w:r>
      <w:r w:rsidR="00D3779E">
        <w:t xml:space="preserve">algoritmos </w:t>
      </w:r>
      <w:r w:rsidR="00906FFE">
        <w:t>para diferentes</w:t>
      </w:r>
      <w:r w:rsidR="00D3779E">
        <w:t xml:space="preserve"> aplicaciones</w:t>
      </w:r>
      <w:r w:rsidR="00906FFE">
        <w:t xml:space="preserve"> (robótica</w:t>
      </w:r>
      <w:r w:rsidR="00FA2D70">
        <w:t>, visión artificial, productos de apoyo, etc.)</w:t>
      </w:r>
      <w:r w:rsidR="00D3779E">
        <w:t>.</w:t>
      </w:r>
    </w:p>
    <w:p w:rsidR="00864AB1" w:rsidRDefault="00864AB1" w:rsidP="00751228">
      <w:pPr>
        <w:spacing w:before="240" w:after="240"/>
      </w:pPr>
      <w:r>
        <w:t xml:space="preserve">La </w:t>
      </w:r>
      <w:r w:rsidR="00D578FB">
        <w:t>categoría</w:t>
      </w:r>
      <w:r>
        <w:t xml:space="preserve"> </w:t>
      </w:r>
      <w:r w:rsidR="00D578FB">
        <w:t>tecnología</w:t>
      </w:r>
      <w:r>
        <w:t xml:space="preserve"> para la discapacidad representa el 6% de los datos. Muchas de las informaciones pertenecientes a esta categoría tratan sobre </w:t>
      </w:r>
      <w:r w:rsidR="00D578FB">
        <w:t>creación</w:t>
      </w:r>
      <w:r>
        <w:t xml:space="preserve"> de productos de apoyo</w:t>
      </w:r>
      <w:r w:rsidR="00430345">
        <w:t xml:space="preserve"> para distintas discapacidades.</w:t>
      </w:r>
    </w:p>
    <w:p w:rsidR="00864AB1" w:rsidRDefault="00864AB1" w:rsidP="00751228">
      <w:pPr>
        <w:spacing w:before="240" w:after="240"/>
      </w:pPr>
      <w:r>
        <w:t>Bajo</w:t>
      </w:r>
      <w:r w:rsidR="007F58D1">
        <w:t xml:space="preserve"> la categoría</w:t>
      </w:r>
      <w:r>
        <w:t xml:space="preserve"> sensores, que supone el 5% de los datos, se agrupan proyectos e investigaciones sobre el desarrollo de sensores con diferentes aplicaciones que van desde soluciones de tecnología móvil hasta la medicina.</w:t>
      </w:r>
    </w:p>
    <w:p w:rsidR="00A80C46" w:rsidRDefault="00A80C46">
      <w:r>
        <w:br w:type="page"/>
      </w:r>
    </w:p>
    <w:p w:rsidR="00A80C46" w:rsidRPr="00575ECF" w:rsidRDefault="00575ECF" w:rsidP="00575ECF">
      <w:pPr>
        <w:pStyle w:val="Epgrafe"/>
        <w:jc w:val="center"/>
        <w:rPr>
          <w:b w:val="0"/>
          <w:color w:val="auto"/>
          <w:sz w:val="22"/>
          <w:szCs w:val="22"/>
        </w:rPr>
      </w:pPr>
      <w:r w:rsidRPr="00575ECF">
        <w:rPr>
          <w:b w:val="0"/>
          <w:color w:val="auto"/>
          <w:sz w:val="22"/>
          <w:szCs w:val="22"/>
        </w:rPr>
        <w:lastRenderedPageBreak/>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D83858">
        <w:rPr>
          <w:b w:val="0"/>
          <w:noProof/>
          <w:color w:val="auto"/>
          <w:sz w:val="22"/>
          <w:szCs w:val="22"/>
        </w:rPr>
        <w:t>3</w:t>
      </w:r>
      <w:r w:rsidRPr="00575ECF">
        <w:rPr>
          <w:b w:val="0"/>
          <w:color w:val="auto"/>
          <w:sz w:val="22"/>
          <w:szCs w:val="22"/>
        </w:rPr>
        <w:fldChar w:fldCharType="end"/>
      </w:r>
      <w:r w:rsidRPr="00575ECF">
        <w:rPr>
          <w:b w:val="0"/>
          <w:color w:val="auto"/>
          <w:sz w:val="22"/>
          <w:szCs w:val="22"/>
        </w:rPr>
        <w:t>. Categoría con porcentaje de frecuencia con menos de 5%</w:t>
      </w:r>
    </w:p>
    <w:p w:rsidR="00A80C46" w:rsidRDefault="005D30A1" w:rsidP="00751228">
      <w:pPr>
        <w:spacing w:before="240" w:after="240"/>
      </w:pPr>
      <w:r>
        <w:rPr>
          <w:noProof/>
          <w:lang w:eastAsia="es-ES"/>
        </w:rPr>
        <w:drawing>
          <wp:inline distT="0" distB="0" distL="0" distR="0" wp14:anchorId="017CBE11" wp14:editId="3763934D">
            <wp:extent cx="5400040" cy="2968324"/>
            <wp:effectExtent l="0" t="0" r="10160" b="22860"/>
            <wp:docPr id="12" name="Gráfico 12" title="Gráfico de barras que presenta las categorías con menos del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594" w:rsidRDefault="00FA2D70" w:rsidP="00751228">
      <w:pPr>
        <w:spacing w:before="240" w:after="240"/>
      </w:pPr>
      <w:r>
        <w:t>La</w:t>
      </w:r>
      <w:r w:rsidR="00EB2D05">
        <w:t xml:space="preserve"> f</w:t>
      </w:r>
      <w:r w:rsidR="00A80C46">
        <w:t>igura 3</w:t>
      </w:r>
      <w:r w:rsidR="00C677AE">
        <w:t>,</w:t>
      </w:r>
      <w:r w:rsidR="00A80C46">
        <w:t xml:space="preserve"> </w:t>
      </w:r>
      <w:r>
        <w:t>muestra</w:t>
      </w:r>
      <w:r w:rsidR="00A80C46">
        <w:t xml:space="preserve"> los temas </w:t>
      </w:r>
      <w:r w:rsidR="00264226">
        <w:t xml:space="preserve">que representan menos del 5% de </w:t>
      </w:r>
      <w:r w:rsidR="006A3543">
        <w:t>los datos</w:t>
      </w:r>
      <w:r w:rsidR="00264226">
        <w:t xml:space="preserve">. </w:t>
      </w:r>
      <w:r w:rsidR="008A2762">
        <w:t xml:space="preserve">Como puede verse, temas tan populares como </w:t>
      </w:r>
      <w:r w:rsidR="00E930DC">
        <w:t>I</w:t>
      </w:r>
      <w:r w:rsidR="008A2762">
        <w:t>nternet de las cosas</w:t>
      </w:r>
      <w:r w:rsidR="004B7237">
        <w:t>, Big Data,</w:t>
      </w:r>
      <w:r w:rsidR="008A2762">
        <w:t xml:space="preserve"> </w:t>
      </w:r>
      <w:r w:rsidR="00E930DC">
        <w:t>C</w:t>
      </w:r>
      <w:r w:rsidR="008A2762">
        <w:t>iudades inteligentes</w:t>
      </w:r>
      <w:r w:rsidR="00E930DC">
        <w:t xml:space="preserve"> o C</w:t>
      </w:r>
      <w:r w:rsidR="004B7237">
        <w:t>omputación en la nube</w:t>
      </w:r>
      <w:r w:rsidR="008A2762">
        <w:t xml:space="preserve"> no </w:t>
      </w:r>
      <w:r w:rsidR="006A3543">
        <w:t xml:space="preserve">alcanzan el 5% </w:t>
      </w:r>
      <w:r w:rsidR="00371594">
        <w:t>en esta muestra</w:t>
      </w:r>
      <w:r w:rsidR="006A3543">
        <w:t>.</w:t>
      </w:r>
      <w:r w:rsidR="008A2762">
        <w:t xml:space="preserve"> </w:t>
      </w:r>
      <w:r w:rsidR="00E24A6C">
        <w:t>Concretamente, internet de las cosas supone el 4%</w:t>
      </w:r>
      <w:r w:rsidR="00371594">
        <w:t>, Bi</w:t>
      </w:r>
      <w:r w:rsidR="00E27351">
        <w:t>g Data</w:t>
      </w:r>
      <w:r w:rsidR="00371594">
        <w:t xml:space="preserve"> </w:t>
      </w:r>
      <w:r w:rsidR="00E27351">
        <w:t xml:space="preserve">y </w:t>
      </w:r>
      <w:r w:rsidR="00371594">
        <w:t xml:space="preserve">computación el 3%, respectivamente. </w:t>
      </w:r>
    </w:p>
    <w:p w:rsidR="00430345" w:rsidRDefault="0054302C" w:rsidP="0004314D">
      <w:pPr>
        <w:spacing w:before="240" w:after="240"/>
      </w:pPr>
      <w:r>
        <w:t>Dos</w:t>
      </w:r>
      <w:r w:rsidR="00237C85">
        <w:t xml:space="preserve"> categoría</w:t>
      </w:r>
      <w:r>
        <w:t>s</w:t>
      </w:r>
      <w:r w:rsidR="00237C85">
        <w:t xml:space="preserve"> temática</w:t>
      </w:r>
      <w:r>
        <w:t>s</w:t>
      </w:r>
      <w:r w:rsidR="00371594">
        <w:t xml:space="preserve"> </w:t>
      </w:r>
      <w:r>
        <w:t xml:space="preserve">importantes </w:t>
      </w:r>
      <w:r w:rsidR="00237C85">
        <w:t xml:space="preserve">para el ámbito de la discapacidad </w:t>
      </w:r>
      <w:r>
        <w:t xml:space="preserve">que obtuvieron </w:t>
      </w:r>
      <w:r w:rsidR="00237C85">
        <w:t xml:space="preserve">porcentajes muy bajos </w:t>
      </w:r>
      <w:r>
        <w:t>fueron Tecnol</w:t>
      </w:r>
      <w:r w:rsidR="0004314D">
        <w:t>og</w:t>
      </w:r>
      <w:r>
        <w:t xml:space="preserve">ía de voz y </w:t>
      </w:r>
      <w:proofErr w:type="spellStart"/>
      <w:r w:rsidR="00237C85">
        <w:t>AgrAbility</w:t>
      </w:r>
      <w:proofErr w:type="spellEnd"/>
      <w:r w:rsidR="00672FCF">
        <w:t xml:space="preserve">, que representan </w:t>
      </w:r>
      <w:r w:rsidR="0004314D">
        <w:t xml:space="preserve">el </w:t>
      </w:r>
      <w:r w:rsidR="00672FCF">
        <w:t>2% y 0,3% respectivamente</w:t>
      </w:r>
      <w:r>
        <w:t>. La primera consiste en proyectos de desarrollo</w:t>
      </w:r>
      <w:r w:rsidR="0004314D">
        <w:t xml:space="preserve"> de software que permita controlar dispositivos, sobre todos los móviles, con la voz. La segunda, son </w:t>
      </w:r>
      <w:r w:rsidR="00237C85">
        <w:t>soluciones</w:t>
      </w:r>
      <w:r w:rsidR="00DB07A9">
        <w:t xml:space="preserve"> de accesibilidad para personas que trabajan en la agricultura y la ganadería. </w:t>
      </w:r>
    </w:p>
    <w:p w:rsidR="00A80C46" w:rsidRDefault="00937B57" w:rsidP="00751228">
      <w:pPr>
        <w:spacing w:before="240" w:after="240"/>
      </w:pPr>
      <w:r>
        <w:t xml:space="preserve">Una </w:t>
      </w:r>
      <w:r w:rsidR="006B55FA">
        <w:t>posible explicación al bajo porcentaje obtenido</w:t>
      </w:r>
      <w:r w:rsidR="00430345">
        <w:t xml:space="preserve"> en esta categoría</w:t>
      </w:r>
      <w:r w:rsidR="006B55FA">
        <w:t xml:space="preserve"> puede ser que</w:t>
      </w:r>
      <w:r>
        <w:t xml:space="preserve"> </w:t>
      </w:r>
      <w:r w:rsidR="00672FCF">
        <w:t>la agricultura no es demasiado popular</w:t>
      </w:r>
      <w:r w:rsidR="006B55FA">
        <w:t xml:space="preserve"> en el ámbito de la tecnología.</w:t>
      </w:r>
      <w:r w:rsidR="00430345">
        <w:t xml:space="preserve"> </w:t>
      </w:r>
      <w:r w:rsidR="00672FCF">
        <w:t xml:space="preserve">Además, el interés por el </w:t>
      </w:r>
      <w:proofErr w:type="spellStart"/>
      <w:r w:rsidR="00672FCF">
        <w:t>AgrAbility</w:t>
      </w:r>
      <w:proofErr w:type="spellEnd"/>
      <w:r w:rsidR="006B55FA">
        <w:t xml:space="preserve"> parece limitado </w:t>
      </w:r>
      <w:r>
        <w:t xml:space="preserve">a un reducido grupo de universidades y </w:t>
      </w:r>
      <w:proofErr w:type="spellStart"/>
      <w:r>
        <w:t>startups</w:t>
      </w:r>
      <w:proofErr w:type="spellEnd"/>
      <w:r w:rsidR="00672FCF">
        <w:t xml:space="preserve"> estadounidenses</w:t>
      </w:r>
      <w:r>
        <w:t>.</w:t>
      </w:r>
      <w:r w:rsidR="00672FCF">
        <w:t xml:space="preserve"> No </w:t>
      </w:r>
      <w:r w:rsidR="00503248">
        <w:t>se encontró</w:t>
      </w:r>
      <w:r w:rsidR="00672FCF">
        <w:t xml:space="preserve"> nada relacionado con este tema en los proyectos de H2020 ni en empresas internacionales. </w:t>
      </w:r>
      <w:r>
        <w:t>De hecho, la información obtenida para este estudio procede en su totalidad de las f</w:t>
      </w:r>
      <w:r w:rsidR="006B55FA">
        <w:t xml:space="preserve">uentes obtenidas de la </w:t>
      </w:r>
      <w:proofErr w:type="spellStart"/>
      <w:r w:rsidR="006B55FA">
        <w:t>startups</w:t>
      </w:r>
      <w:proofErr w:type="spellEnd"/>
      <w:r w:rsidR="006B55FA">
        <w:t xml:space="preserve"> y trata</w:t>
      </w:r>
      <w:r w:rsidR="00D81B6F">
        <w:t xml:space="preserve"> </w:t>
      </w:r>
      <w:r w:rsidR="006B55FA">
        <w:t>sobre el desarrollo de soluciones</w:t>
      </w:r>
      <w:r>
        <w:t xml:space="preserve"> </w:t>
      </w:r>
      <w:r w:rsidR="006B55FA">
        <w:t xml:space="preserve">basadas </w:t>
      </w:r>
      <w:r>
        <w:t>en la robótica</w:t>
      </w:r>
      <w:r w:rsidR="006B55FA">
        <w:t>.</w:t>
      </w:r>
    </w:p>
    <w:p w:rsidR="00503248" w:rsidRDefault="00503248" w:rsidP="00751228">
      <w:pPr>
        <w:spacing w:before="240" w:after="240"/>
      </w:pPr>
      <w:r>
        <w:t xml:space="preserve">En la Tabla </w:t>
      </w:r>
      <w:r w:rsidR="002B5967">
        <w:t>1</w:t>
      </w:r>
      <w:r>
        <w:t xml:space="preserve">-A en Anexo </w:t>
      </w:r>
      <w:r w:rsidR="002E58AF">
        <w:t>A</w:t>
      </w:r>
      <w:r>
        <w:t xml:space="preserve"> se presentan todas las categorías obtenidas y su correspondiente porcentaje. </w:t>
      </w:r>
    </w:p>
    <w:p w:rsidR="00503248" w:rsidRDefault="00503248">
      <w:r>
        <w:br w:type="page"/>
      </w:r>
    </w:p>
    <w:p w:rsidR="002F2023" w:rsidRPr="00D14DDE" w:rsidRDefault="002F2023" w:rsidP="00D14DDE">
      <w:pPr>
        <w:pStyle w:val="Ttulo3"/>
        <w:numPr>
          <w:ilvl w:val="1"/>
          <w:numId w:val="4"/>
        </w:numPr>
        <w:rPr>
          <w:rFonts w:asciiTheme="minorHAnsi" w:hAnsiTheme="minorHAnsi"/>
          <w:color w:val="auto"/>
        </w:rPr>
      </w:pPr>
      <w:bookmarkStart w:id="8" w:name="_Toc476565897"/>
      <w:r w:rsidRPr="00D14DDE">
        <w:rPr>
          <w:rFonts w:asciiTheme="minorHAnsi" w:hAnsiTheme="minorHAnsi"/>
          <w:color w:val="auto"/>
        </w:rPr>
        <w:lastRenderedPageBreak/>
        <w:t>Porcentaje de frecuencias por grupo de fuentes</w:t>
      </w:r>
      <w:bookmarkEnd w:id="8"/>
    </w:p>
    <w:p w:rsidR="009378EA" w:rsidRDefault="009378EA" w:rsidP="00751228">
      <w:pPr>
        <w:spacing w:before="240" w:after="240"/>
      </w:pPr>
      <w:r>
        <w:t>En este apartado</w:t>
      </w:r>
      <w:r w:rsidR="00D81B6F">
        <w:t xml:space="preserve"> se presenta un</w:t>
      </w:r>
      <w:r>
        <w:t xml:space="preserve"> análisis comparativo de las categorías para </w:t>
      </w:r>
      <w:r w:rsidR="00FD1549">
        <w:t xml:space="preserve">conocer la importancia que cada una de las fuentes consultadas otorga a los temas identificados. Para ello, la muestra fue </w:t>
      </w:r>
      <w:r w:rsidR="005913D1">
        <w:t>agrupada</w:t>
      </w:r>
      <w:r w:rsidR="00FD1549">
        <w:t xml:space="preserve"> según </w:t>
      </w:r>
      <w:r w:rsidR="00244839">
        <w:t xml:space="preserve">la </w:t>
      </w:r>
      <w:r w:rsidR="00FD1549">
        <w:t>fuente</w:t>
      </w:r>
      <w:r w:rsidR="00244839">
        <w:t xml:space="preserve"> de procedencia</w:t>
      </w:r>
      <w:r w:rsidR="00F96920">
        <w:t>. Se obtuvieron cuatro grupos: g</w:t>
      </w:r>
      <w:r w:rsidR="00FD1549">
        <w:t>obierno, un</w:t>
      </w:r>
      <w:r w:rsidR="00EB2D05">
        <w:t xml:space="preserve">iversidad, </w:t>
      </w:r>
      <w:proofErr w:type="spellStart"/>
      <w:r w:rsidR="00EB2D05">
        <w:t>startups</w:t>
      </w:r>
      <w:proofErr w:type="spellEnd"/>
      <w:r w:rsidR="00EB2D05">
        <w:t xml:space="preserve"> y empresas.</w:t>
      </w:r>
    </w:p>
    <w:p w:rsidR="00244839" w:rsidRDefault="00574683" w:rsidP="00751228">
      <w:pPr>
        <w:spacing w:before="240" w:after="240"/>
      </w:pPr>
      <w:r>
        <w:t xml:space="preserve">Para simplificar la presentación de los resultados, en la figura </w:t>
      </w:r>
      <w:r w:rsidR="00EB2D05">
        <w:t>4</w:t>
      </w:r>
      <w:r>
        <w:t xml:space="preserve"> se </w:t>
      </w:r>
      <w:r w:rsidR="00994A08">
        <w:t>ilustran</w:t>
      </w:r>
      <w:r>
        <w:t xml:space="preserve"> las categorías temática</w:t>
      </w:r>
      <w:r w:rsidR="00255A1E">
        <w:t>s</w:t>
      </w:r>
      <w:r>
        <w:t xml:space="preserve"> que representan el 5% o más </w:t>
      </w:r>
      <w:r w:rsidR="00766942">
        <w:t xml:space="preserve">de la muestra </w:t>
      </w:r>
      <w:r>
        <w:t>en, al menos, un grupo.</w:t>
      </w:r>
      <w:r w:rsidR="00C87114">
        <w:t xml:space="preserve"> </w:t>
      </w:r>
      <w:r w:rsidR="00D81B6F">
        <w:t>E</w:t>
      </w:r>
      <w:r w:rsidR="00F96920">
        <w:t>l listado completo de categorías</w:t>
      </w:r>
      <w:r w:rsidR="005D70AB">
        <w:t xml:space="preserve"> </w:t>
      </w:r>
      <w:r w:rsidR="00D81B6F">
        <w:t xml:space="preserve">en </w:t>
      </w:r>
      <w:r w:rsidR="005D70AB">
        <w:t>cada grupo de fuentes</w:t>
      </w:r>
      <w:r w:rsidR="00F96920">
        <w:t xml:space="preserve"> y s</w:t>
      </w:r>
      <w:r w:rsidR="00D81B6F">
        <w:t>us correspondientes porce</w:t>
      </w:r>
      <w:r w:rsidR="002B5967">
        <w:t>ntajes puede verse en la tabla</w:t>
      </w:r>
      <w:r w:rsidR="00F96920">
        <w:t xml:space="preserve"> </w:t>
      </w:r>
      <w:r w:rsidR="002B5967">
        <w:t>2</w:t>
      </w:r>
      <w:r w:rsidR="005913D1">
        <w:t>-A</w:t>
      </w:r>
      <w:r w:rsidR="00F96920">
        <w:t xml:space="preserve"> </w:t>
      </w:r>
      <w:r w:rsidR="005913D1">
        <w:t>en el A</w:t>
      </w:r>
      <w:r w:rsidR="00C87114">
        <w:t xml:space="preserve">nexo </w:t>
      </w:r>
      <w:r w:rsidR="002E58AF">
        <w:t>A</w:t>
      </w:r>
      <w:r w:rsidR="00C87114">
        <w:t>.</w:t>
      </w:r>
    </w:p>
    <w:p w:rsidR="00AE6B63" w:rsidRPr="00EB2D05" w:rsidRDefault="00EB2D05" w:rsidP="00EB2D05">
      <w:pPr>
        <w:pStyle w:val="Epgrafe"/>
        <w:jc w:val="center"/>
        <w:rPr>
          <w:b w:val="0"/>
          <w:color w:val="auto"/>
          <w:sz w:val="22"/>
          <w:szCs w:val="22"/>
        </w:rPr>
      </w:pPr>
      <w:r w:rsidRPr="00EB2D05">
        <w:rPr>
          <w:b w:val="0"/>
          <w:color w:val="auto"/>
          <w:sz w:val="22"/>
          <w:szCs w:val="22"/>
        </w:rPr>
        <w:t xml:space="preserve">Figura </w:t>
      </w:r>
      <w:r w:rsidRPr="00EB2D05">
        <w:rPr>
          <w:b w:val="0"/>
          <w:color w:val="auto"/>
          <w:sz w:val="22"/>
          <w:szCs w:val="22"/>
        </w:rPr>
        <w:fldChar w:fldCharType="begin"/>
      </w:r>
      <w:r w:rsidRPr="00EB2D05">
        <w:rPr>
          <w:b w:val="0"/>
          <w:color w:val="auto"/>
          <w:sz w:val="22"/>
          <w:szCs w:val="22"/>
        </w:rPr>
        <w:instrText xml:space="preserve"> SEQ Figura \* ARABIC </w:instrText>
      </w:r>
      <w:r w:rsidRPr="00EB2D05">
        <w:rPr>
          <w:b w:val="0"/>
          <w:color w:val="auto"/>
          <w:sz w:val="22"/>
          <w:szCs w:val="22"/>
        </w:rPr>
        <w:fldChar w:fldCharType="separate"/>
      </w:r>
      <w:r w:rsidR="00D83858">
        <w:rPr>
          <w:b w:val="0"/>
          <w:noProof/>
          <w:color w:val="auto"/>
          <w:sz w:val="22"/>
          <w:szCs w:val="22"/>
        </w:rPr>
        <w:t>4</w:t>
      </w:r>
      <w:r w:rsidRPr="00EB2D05">
        <w:rPr>
          <w:b w:val="0"/>
          <w:color w:val="auto"/>
          <w:sz w:val="22"/>
          <w:szCs w:val="22"/>
        </w:rPr>
        <w:fldChar w:fldCharType="end"/>
      </w:r>
      <w:r w:rsidRPr="00EB2D05">
        <w:rPr>
          <w:b w:val="0"/>
          <w:color w:val="auto"/>
          <w:sz w:val="22"/>
          <w:szCs w:val="22"/>
        </w:rPr>
        <w:t>. Porcentaje de frecuencias de categorías por grupo de fuente de información</w:t>
      </w:r>
    </w:p>
    <w:p w:rsidR="00AE6B63" w:rsidRDefault="00AA440A" w:rsidP="00AE6B63">
      <w:pPr>
        <w:spacing w:before="240" w:after="240"/>
        <w:jc w:val="center"/>
      </w:pPr>
      <w:r>
        <w:rPr>
          <w:noProof/>
          <w:lang w:eastAsia="es-ES"/>
        </w:rPr>
        <w:drawing>
          <wp:inline distT="0" distB="0" distL="0" distR="0" wp14:anchorId="19D650EF" wp14:editId="60B96A3F">
            <wp:extent cx="5400040" cy="2996050"/>
            <wp:effectExtent l="0" t="0" r="10160" b="13970"/>
            <wp:docPr id="1" name="Gráfico 1" title="Gráfico de barras que presenta el porcentaje de frecuencia de las categorías por cada grupo de informació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4281" w:rsidRDefault="00430345" w:rsidP="00CC247C">
      <w:r>
        <w:t>La categoría r</w:t>
      </w:r>
      <w:r w:rsidR="00884281">
        <w:t xml:space="preserve">obótica aparece con más frecuencia en las informaciones </w:t>
      </w:r>
      <w:r w:rsidR="005D70AB">
        <w:t>de</w:t>
      </w:r>
      <w:r w:rsidR="00884281">
        <w:t xml:space="preserve"> los grupos </w:t>
      </w:r>
      <w:r w:rsidR="002D2CE4">
        <w:t>universidad</w:t>
      </w:r>
      <w:r w:rsidR="00884281">
        <w:t xml:space="preserve"> (1</w:t>
      </w:r>
      <w:r w:rsidR="002D2CE4">
        <w:t>6</w:t>
      </w:r>
      <w:r w:rsidR="00884281">
        <w:t xml:space="preserve">%) y </w:t>
      </w:r>
      <w:r w:rsidR="002D2CE4">
        <w:t>gobierno (14</w:t>
      </w:r>
      <w:r w:rsidR="005D70AB">
        <w:t xml:space="preserve">%). En los grupos </w:t>
      </w:r>
      <w:proofErr w:type="spellStart"/>
      <w:r w:rsidR="005D70AB">
        <w:t>s</w:t>
      </w:r>
      <w:r w:rsidR="00884281">
        <w:t>tartups</w:t>
      </w:r>
      <w:proofErr w:type="spellEnd"/>
      <w:r w:rsidR="00884281">
        <w:t xml:space="preserve"> y </w:t>
      </w:r>
      <w:r w:rsidR="005D70AB">
        <w:t>e</w:t>
      </w:r>
      <w:r w:rsidR="00884281">
        <w:t xml:space="preserve">mpresas ocupa el cuarto lugar en importancia </w:t>
      </w:r>
      <w:r w:rsidR="00AC4632">
        <w:t>con un 8 y 7%, respectivamente.</w:t>
      </w:r>
    </w:p>
    <w:p w:rsidR="00A8132E" w:rsidRDefault="00316C45">
      <w:r>
        <w:t>Una posible</w:t>
      </w:r>
      <w:r w:rsidR="00C53C01">
        <w:t xml:space="preserve"> explicación</w:t>
      </w:r>
      <w:r w:rsidR="0094084B">
        <w:t xml:space="preserve"> a la</w:t>
      </w:r>
      <w:r w:rsidR="00430345">
        <w:t>s</w:t>
      </w:r>
      <w:r w:rsidR="0094084B">
        <w:t xml:space="preserve"> diferencia</w:t>
      </w:r>
      <w:r w:rsidR="00430345">
        <w:t>s observadas en la frecuencia de</w:t>
      </w:r>
      <w:r w:rsidR="002D2CE4">
        <w:t xml:space="preserve"> aparición de</w:t>
      </w:r>
      <w:r w:rsidR="00430345">
        <w:t xml:space="preserve"> este tema en la información analizada es que</w:t>
      </w:r>
      <w:r w:rsidR="0094084B">
        <w:t xml:space="preserve"> </w:t>
      </w:r>
      <w:r>
        <w:t>los organismos gubernamentales suelen invertir más</w:t>
      </w:r>
      <w:r w:rsidR="000149A1">
        <w:t xml:space="preserve"> en el desarrollo de infraestructura y en </w:t>
      </w:r>
      <w:r w:rsidR="00BD7DDE">
        <w:t>tecnologías no maduras</w:t>
      </w:r>
      <w:r w:rsidR="00967009">
        <w:t>,</w:t>
      </w:r>
      <w:r w:rsidR="00BD7DDE">
        <w:t xml:space="preserve"> </w:t>
      </w:r>
      <w:r w:rsidR="000149A1">
        <w:t>como es el caso de la robótica</w:t>
      </w:r>
      <w:r w:rsidR="00967009">
        <w:t xml:space="preserve">, que requieren </w:t>
      </w:r>
      <w:r w:rsidR="00D276AE">
        <w:t>grandes inversiones</w:t>
      </w:r>
      <w:r w:rsidR="000149A1">
        <w:t>.</w:t>
      </w:r>
      <w:r w:rsidR="00A8132E">
        <w:t xml:space="preserve"> Esta explicación también aplicaría al caso de las universidades, pues muchas reciben financiación</w:t>
      </w:r>
      <w:r w:rsidR="00452F2A">
        <w:t xml:space="preserve"> pública</w:t>
      </w:r>
      <w:r w:rsidR="00A8132E">
        <w:t xml:space="preserve"> para este tipo de proyectos. De hecho, el Gobierno Federal de los Estados Unidos tiene disponible un programa de </w:t>
      </w:r>
      <w:r w:rsidR="0094084B">
        <w:t>becas (</w:t>
      </w:r>
      <w:proofErr w:type="spellStart"/>
      <w:r w:rsidR="0094084B">
        <w:t>grants</w:t>
      </w:r>
      <w:proofErr w:type="spellEnd"/>
      <w:r w:rsidR="0094084B">
        <w:t>)</w:t>
      </w:r>
      <w:r w:rsidR="00F950D1">
        <w:t xml:space="preserve"> para proyectos de r</w:t>
      </w:r>
      <w:r w:rsidR="00A8132E">
        <w:t xml:space="preserve">obótica, denominado </w:t>
      </w:r>
      <w:proofErr w:type="spellStart"/>
      <w:r w:rsidR="00A8132E" w:rsidRPr="005D70AB">
        <w:rPr>
          <w:i/>
        </w:rPr>
        <w:t>National</w:t>
      </w:r>
      <w:proofErr w:type="spellEnd"/>
      <w:r w:rsidR="00A8132E" w:rsidRPr="005D70AB">
        <w:rPr>
          <w:i/>
        </w:rPr>
        <w:t xml:space="preserve"> </w:t>
      </w:r>
      <w:proofErr w:type="spellStart"/>
      <w:r w:rsidR="00A8132E" w:rsidRPr="005D70AB">
        <w:rPr>
          <w:i/>
        </w:rPr>
        <w:t>Robotic</w:t>
      </w:r>
      <w:proofErr w:type="spellEnd"/>
      <w:r w:rsidR="00A8132E" w:rsidRPr="005D70AB">
        <w:rPr>
          <w:i/>
        </w:rPr>
        <w:t xml:space="preserve"> </w:t>
      </w:r>
      <w:proofErr w:type="spellStart"/>
      <w:r w:rsidR="00A8132E" w:rsidRPr="005D70AB">
        <w:rPr>
          <w:i/>
        </w:rPr>
        <w:t>Intiative</w:t>
      </w:r>
      <w:proofErr w:type="spellEnd"/>
      <w:r w:rsidR="00A8132E">
        <w:t xml:space="preserve"> </w:t>
      </w:r>
      <w:r w:rsidR="00F950D1">
        <w:t>cuyo objetivo es</w:t>
      </w:r>
      <w:r w:rsidR="00A8132E">
        <w:t xml:space="preserve"> promover el desarrollo de esta tecnología en </w:t>
      </w:r>
      <w:r w:rsidR="0094084B">
        <w:t>las instituciones de educación superior</w:t>
      </w:r>
      <w:r w:rsidR="00A8132E">
        <w:t xml:space="preserve">. </w:t>
      </w:r>
    </w:p>
    <w:p w:rsidR="0094084B" w:rsidRDefault="0094084B" w:rsidP="0094084B">
      <w:r>
        <w:t>En el caso de la tecnología móvil, a juzgar por los resultados obtenidos</w:t>
      </w:r>
      <w:r w:rsidR="00582AFB">
        <w:t>,</w:t>
      </w:r>
      <w:r>
        <w:t xml:space="preserve"> sigue siendo un campo de mucha actividad dentro del ámbito empresarial y el universitario. Esta categoría representa </w:t>
      </w:r>
      <w:r>
        <w:lastRenderedPageBreak/>
        <w:t xml:space="preserve">el 21% de los datos pertenecientes al grupo de </w:t>
      </w:r>
      <w:proofErr w:type="spellStart"/>
      <w:r w:rsidR="005D70AB">
        <w:t>s</w:t>
      </w:r>
      <w:r>
        <w:t>tartups</w:t>
      </w:r>
      <w:proofErr w:type="spellEnd"/>
      <w:r>
        <w:t xml:space="preserve">, el 17% de los de </w:t>
      </w:r>
      <w:r w:rsidR="005D70AB">
        <w:t>e</w:t>
      </w:r>
      <w:r>
        <w:t xml:space="preserve">mpresas y el 13% de las universidades. </w:t>
      </w:r>
      <w:r w:rsidR="00582AFB">
        <w:t xml:space="preserve">En el del gobierno, </w:t>
      </w:r>
      <w:r w:rsidR="00651B6F">
        <w:t xml:space="preserve">sin embargo, </w:t>
      </w:r>
      <w:r w:rsidR="00582AFB">
        <w:t>supone el 7% de los datos.</w:t>
      </w:r>
    </w:p>
    <w:p w:rsidR="00D33964" w:rsidRDefault="00542388">
      <w:r>
        <w:t xml:space="preserve">Buena parte de la información </w:t>
      </w:r>
      <w:r w:rsidR="00071054">
        <w:t xml:space="preserve">perteneciente al grupo </w:t>
      </w:r>
      <w:proofErr w:type="spellStart"/>
      <w:r w:rsidR="00D83F27">
        <w:t>s</w:t>
      </w:r>
      <w:r w:rsidR="00071054">
        <w:t>tartu</w:t>
      </w:r>
      <w:r>
        <w:t>ps</w:t>
      </w:r>
      <w:proofErr w:type="spellEnd"/>
      <w:r w:rsidR="00071054">
        <w:t xml:space="preserve"> está relacionada con el desarrollo de</w:t>
      </w:r>
      <w:r w:rsidR="001559F7">
        <w:t xml:space="preserve"> aplicaciones móviles</w:t>
      </w:r>
      <w:r w:rsidR="00071054">
        <w:t xml:space="preserve"> </w:t>
      </w:r>
      <w:r>
        <w:t xml:space="preserve">para negocios, en particular, </w:t>
      </w:r>
      <w:r w:rsidR="000B4FB7">
        <w:t xml:space="preserve">plataformas </w:t>
      </w:r>
      <w:r w:rsidR="00D93C50">
        <w:t xml:space="preserve">de análisis de datos o de </w:t>
      </w:r>
      <w:proofErr w:type="spellStart"/>
      <w:r w:rsidR="00D93C50">
        <w:t>multiservicios</w:t>
      </w:r>
      <w:proofErr w:type="spellEnd"/>
      <w:r w:rsidR="00D93C50">
        <w:t xml:space="preserve"> </w:t>
      </w:r>
      <w:r w:rsidR="00D83F27">
        <w:t>para administración y gestión de clientes</w:t>
      </w:r>
      <w:r w:rsidR="00D93C50">
        <w:t xml:space="preserve">. </w:t>
      </w:r>
      <w:r w:rsidR="00D33964">
        <w:t xml:space="preserve">En esta búsqueda apenas se encontraron </w:t>
      </w:r>
      <w:proofErr w:type="spellStart"/>
      <w:r w:rsidR="00D83F27">
        <w:t>startups</w:t>
      </w:r>
      <w:proofErr w:type="spellEnd"/>
      <w:r w:rsidR="00D83F27">
        <w:t xml:space="preserve"> </w:t>
      </w:r>
      <w:r w:rsidR="00D33964">
        <w:t xml:space="preserve">que </w:t>
      </w:r>
      <w:r w:rsidR="001559F7">
        <w:t>desarrollen</w:t>
      </w:r>
      <w:r w:rsidR="00D33964">
        <w:t xml:space="preserve"> productos o servicios </w:t>
      </w:r>
      <w:r w:rsidR="00651B6F">
        <w:t xml:space="preserve">basados en tecnología móvil </w:t>
      </w:r>
      <w:r w:rsidR="00D33964">
        <w:t>para personas con discapacidad. De hecho, l</w:t>
      </w:r>
      <w:r w:rsidR="00D83F27">
        <w:t>a categoría Tecnología para la d</w:t>
      </w:r>
      <w:r w:rsidR="00D33964">
        <w:t xml:space="preserve">iscapacidad representa el 2% de los datos obtenidos de </w:t>
      </w:r>
      <w:r w:rsidR="00D83F27">
        <w:t>este grupo de fuentes</w:t>
      </w:r>
      <w:r w:rsidR="00D33964">
        <w:t>.</w:t>
      </w:r>
    </w:p>
    <w:p w:rsidR="001F0B3E" w:rsidRDefault="00651B6F">
      <w:r>
        <w:t>Sin embargo, e</w:t>
      </w:r>
      <w:r w:rsidR="00D93C50">
        <w:t xml:space="preserve">n el caso del grupo </w:t>
      </w:r>
      <w:r w:rsidR="00D83F27">
        <w:t>e</w:t>
      </w:r>
      <w:r w:rsidR="00D93C50">
        <w:t>mpresas</w:t>
      </w:r>
      <w:r w:rsidR="00D33964">
        <w:t xml:space="preserve">, la mayor parte de los datos </w:t>
      </w:r>
      <w:r w:rsidR="0065635A">
        <w:t>están relacionados con la</w:t>
      </w:r>
      <w:r w:rsidR="00D33964">
        <w:t xml:space="preserve"> </w:t>
      </w:r>
      <w:r w:rsidR="001559F7">
        <w:t>creación</w:t>
      </w:r>
      <w:r w:rsidR="00D33964">
        <w:t xml:space="preserve"> de tecnología </w:t>
      </w:r>
      <w:proofErr w:type="spellStart"/>
      <w:r w:rsidR="00D33964">
        <w:t>ponible</w:t>
      </w:r>
      <w:proofErr w:type="spellEnd"/>
      <w:r w:rsidR="00D33964">
        <w:t xml:space="preserve"> (</w:t>
      </w:r>
      <w:proofErr w:type="spellStart"/>
      <w:r w:rsidR="00D33964">
        <w:t>wearables</w:t>
      </w:r>
      <w:proofErr w:type="spellEnd"/>
      <w:r w:rsidR="00D33964">
        <w:t>)</w:t>
      </w:r>
      <w:r w:rsidR="001C7274">
        <w:t xml:space="preserve"> con diversas aplicaciones entre las que se incluyen soluciones para personas ciegas</w:t>
      </w:r>
      <w:r w:rsidR="00D33964">
        <w:t>.</w:t>
      </w:r>
      <w:r w:rsidR="001C7274">
        <w:t xml:space="preserve"> Por ejemplo, </w:t>
      </w:r>
      <w:r w:rsidR="0065635A">
        <w:t>la empresa IBM</w:t>
      </w:r>
      <w:r w:rsidR="001C7274">
        <w:t xml:space="preserve"> </w:t>
      </w:r>
      <w:r w:rsidR="00D83F27">
        <w:t xml:space="preserve">está </w:t>
      </w:r>
      <w:r w:rsidR="001C7274">
        <w:t>desarrolla</w:t>
      </w:r>
      <w:r w:rsidR="00D83F27">
        <w:t>ndo</w:t>
      </w:r>
      <w:r w:rsidR="001C7274">
        <w:t xml:space="preserve"> </w:t>
      </w:r>
      <w:r w:rsidR="0065635A">
        <w:t xml:space="preserve">una cámara </w:t>
      </w:r>
      <w:r w:rsidR="00D83F27">
        <w:t xml:space="preserve">para relojes inteligentes </w:t>
      </w:r>
      <w:r w:rsidR="0065635A">
        <w:t>capaz de leer los c</w:t>
      </w:r>
      <w:r w:rsidR="00C93B3B">
        <w:t>ódigos de barra de los productos en</w:t>
      </w:r>
      <w:r w:rsidR="0065635A">
        <w:t xml:space="preserve"> un supermercado. </w:t>
      </w:r>
      <w:r w:rsidR="00C93B3B">
        <w:t xml:space="preserve">Se trata de una solución para las barreras que el colectivo de personas ciegas </w:t>
      </w:r>
      <w:r w:rsidR="0059725F">
        <w:t xml:space="preserve">tiende a enfrentar </w:t>
      </w:r>
      <w:r w:rsidR="00C93B3B">
        <w:t xml:space="preserve">a la hora de conocer los ingredientes de los productos en un supermercado. </w:t>
      </w:r>
      <w:r w:rsidR="0059725F">
        <w:t>Asimismo, entre las informaciones correspondientes a este grupo de fuentes se ha encontrado mucha</w:t>
      </w:r>
      <w:r w:rsidR="002D2CE4">
        <w:t>s informaciones</w:t>
      </w:r>
      <w:r w:rsidR="0059725F">
        <w:t xml:space="preserve"> sobre el desarrollo de tecnología robótica </w:t>
      </w:r>
      <w:proofErr w:type="spellStart"/>
      <w:r w:rsidR="0059725F">
        <w:t>ponible</w:t>
      </w:r>
      <w:proofErr w:type="spellEnd"/>
      <w:r w:rsidR="0059725F">
        <w:t>, entre ella</w:t>
      </w:r>
      <w:r w:rsidR="002D2CE4">
        <w:t>s</w:t>
      </w:r>
      <w:r w:rsidR="0059725F">
        <w:t>, exoesqueletos.</w:t>
      </w:r>
    </w:p>
    <w:p w:rsidR="008D025E" w:rsidRDefault="008D025E">
      <w:r>
        <w:t xml:space="preserve">La categoría </w:t>
      </w:r>
      <w:r w:rsidR="00262F68">
        <w:t>s</w:t>
      </w:r>
      <w:r>
        <w:t xml:space="preserve">alud inteligente </w:t>
      </w:r>
      <w:r w:rsidR="00651B6F">
        <w:t xml:space="preserve">representa el 10% de la información </w:t>
      </w:r>
      <w:r w:rsidR="00262F68">
        <w:t>perteneciente al grupo g</w:t>
      </w:r>
      <w:r>
        <w:t>obierno (10%</w:t>
      </w:r>
      <w:r w:rsidR="00651B6F">
        <w:t>),</w:t>
      </w:r>
      <w:r w:rsidR="00262F68">
        <w:t xml:space="preserve"> </w:t>
      </w:r>
      <w:r w:rsidR="00651B6F">
        <w:t>el 8%</w:t>
      </w:r>
      <w:r w:rsidR="00262F68">
        <w:t xml:space="preserve"> </w:t>
      </w:r>
      <w:r w:rsidR="00651B6F">
        <w:t>en de</w:t>
      </w:r>
      <w:r w:rsidR="00262F68">
        <w:t xml:space="preserve"> u</w:t>
      </w:r>
      <w:r>
        <w:t>niversidad</w:t>
      </w:r>
      <w:r w:rsidR="00651B6F">
        <w:t>,</w:t>
      </w:r>
      <w:r>
        <w:t xml:space="preserve"> </w:t>
      </w:r>
      <w:r w:rsidR="00E23ED5">
        <w:t>el 6%</w:t>
      </w:r>
      <w:r w:rsidR="00651B6F">
        <w:t xml:space="preserve"> en el de empresas y el 5% en el de </w:t>
      </w:r>
      <w:proofErr w:type="spellStart"/>
      <w:r w:rsidR="00651B6F">
        <w:t>startups</w:t>
      </w:r>
      <w:proofErr w:type="spellEnd"/>
      <w:r w:rsidR="00651B6F">
        <w:t>.</w:t>
      </w:r>
      <w:r w:rsidR="00E23ED5">
        <w:t xml:space="preserve"> La mayor parte de la información encontrada trata sobre soluciones para la atención médica a distancia. No obstante, también se incluyen muchos proyectos </w:t>
      </w:r>
      <w:r w:rsidR="002D2CE4">
        <w:t>de</w:t>
      </w:r>
      <w:r w:rsidR="00E23ED5">
        <w:t xml:space="preserve"> desarrollo de equipamiento médico puntero basado</w:t>
      </w:r>
      <w:r w:rsidR="00262F68">
        <w:t>, sobre todo,</w:t>
      </w:r>
      <w:r w:rsidR="006C5DCA">
        <w:t xml:space="preserve"> en la robótica. Este hecho podría explicar por qué este tema aparece más entre los datos del </w:t>
      </w:r>
      <w:r w:rsidR="00262F68">
        <w:t>g</w:t>
      </w:r>
      <w:r w:rsidR="006C5DCA">
        <w:t xml:space="preserve">obierno y </w:t>
      </w:r>
      <w:r w:rsidR="00262F68">
        <w:t>u</w:t>
      </w:r>
      <w:r w:rsidR="006C5DCA">
        <w:t xml:space="preserve">niversidad que en el resto. </w:t>
      </w:r>
    </w:p>
    <w:p w:rsidR="00423617" w:rsidRDefault="008D025E" w:rsidP="007036E6">
      <w:r>
        <w:t xml:space="preserve">La categoría </w:t>
      </w:r>
      <w:r w:rsidR="00262F68">
        <w:t>a</w:t>
      </w:r>
      <w:r>
        <w:t>prendizaje a</w:t>
      </w:r>
      <w:r w:rsidR="00666154">
        <w:t>utomático aparece más o menos con la misma frecuencia en todos los g</w:t>
      </w:r>
      <w:r w:rsidR="00C92524">
        <w:t xml:space="preserve">rupos de fuentes </w:t>
      </w:r>
      <w:r w:rsidR="00990DF3">
        <w:t>seleccionada</w:t>
      </w:r>
      <w:r w:rsidR="003E0FCB">
        <w:t>s</w:t>
      </w:r>
      <w:r w:rsidR="00990DF3">
        <w:t xml:space="preserve">. </w:t>
      </w:r>
      <w:r w:rsidR="007036E6">
        <w:t xml:space="preserve">Este tema constituye el 8% de la información de las </w:t>
      </w:r>
      <w:proofErr w:type="spellStart"/>
      <w:r w:rsidR="007036E6">
        <w:t>startups</w:t>
      </w:r>
      <w:proofErr w:type="spellEnd"/>
      <w:r w:rsidR="007036E6">
        <w:t xml:space="preserve">; el 7% de las del gobierno; y el 6% de las universidades y las empresas, respectivamente. Muchos de los proyectos encontrados, en particular, entre las </w:t>
      </w:r>
      <w:proofErr w:type="spellStart"/>
      <w:r w:rsidR="007036E6">
        <w:t>startups</w:t>
      </w:r>
      <w:proofErr w:type="spellEnd"/>
      <w:r w:rsidR="007036E6">
        <w:t xml:space="preserve">, </w:t>
      </w:r>
      <w:r w:rsidR="0069279D">
        <w:t>tienen como base el uso de la inteligencia artificial</w:t>
      </w:r>
      <w:r w:rsidR="007036E6">
        <w:t xml:space="preserve"> y el desarrollo de algoritmos con distintas aplicaciones</w:t>
      </w:r>
      <w:r w:rsidR="0069279D">
        <w:t>.</w:t>
      </w:r>
    </w:p>
    <w:p w:rsidR="00AB6CD6" w:rsidRDefault="007036E6">
      <w:r>
        <w:t>Interesantemente,</w:t>
      </w:r>
      <w:r w:rsidR="009F0F48">
        <w:t xml:space="preserve"> l</w:t>
      </w:r>
      <w:r w:rsidR="006E79D3">
        <w:t>a categoría t</w:t>
      </w:r>
      <w:r w:rsidR="003E0FCB">
        <w:t>ecnología para la d</w:t>
      </w:r>
      <w:r w:rsidR="009F0F48">
        <w:t xml:space="preserve">iscapacidad obtuvo los mayores porcentajes en </w:t>
      </w:r>
      <w:r w:rsidR="006E79D3">
        <w:t>el grupo e</w:t>
      </w:r>
      <w:r w:rsidR="009F0F48">
        <w:t>mpresas</w:t>
      </w:r>
      <w:r w:rsidR="00AB6CD6">
        <w:t>, represe</w:t>
      </w:r>
      <w:r w:rsidR="00D00DF6">
        <w:t>ntando un 13</w:t>
      </w:r>
      <w:r w:rsidR="00AB6CD6">
        <w:t>% de la información.</w:t>
      </w:r>
      <w:r w:rsidR="000A7813">
        <w:t xml:space="preserve"> De hecho, es el segundo tema más frecuente.</w:t>
      </w:r>
      <w:r w:rsidR="00AB6CD6">
        <w:t xml:space="preserve"> En ella se agrupan proyectos de desarrollo de productos de apoyo y servicios de accesibilidad por empresas como IBM, Samsung, </w:t>
      </w:r>
      <w:proofErr w:type="spellStart"/>
      <w:r w:rsidR="00AB6CD6">
        <w:t>Yahoo</w:t>
      </w:r>
      <w:proofErr w:type="spellEnd"/>
      <w:r w:rsidR="00AB6CD6">
        <w:t xml:space="preserve"> e incluso Facebook</w:t>
      </w:r>
      <w:r w:rsidR="00B571BE">
        <w:t xml:space="preserve">. De hecho, esta red social está invirtiendo en la creación de algoritmos que mejoren el acceso a las personas ciegas al contenido de las imágenes que publican los usuarios. </w:t>
      </w:r>
    </w:p>
    <w:p w:rsidR="00B571BE" w:rsidRDefault="006E79D3">
      <w:r>
        <w:t>En el grupo u</w:t>
      </w:r>
      <w:r w:rsidR="00B571BE">
        <w:t>niversidad</w:t>
      </w:r>
      <w:r w:rsidR="00651B6F">
        <w:t>,</w:t>
      </w:r>
      <w:r w:rsidR="00B571BE">
        <w:t xml:space="preserve"> los temas relacionados con el desarrollo de tecnologías para la discapacidad representan el </w:t>
      </w:r>
      <w:r>
        <w:t>7%. En el del g</w:t>
      </w:r>
      <w:r w:rsidR="005D78E5">
        <w:t>obierno el 6% y en el d</w:t>
      </w:r>
      <w:r w:rsidR="00D00DF6">
        <w:t>e</w:t>
      </w:r>
      <w:r>
        <w:t xml:space="preserve"> </w:t>
      </w:r>
      <w:proofErr w:type="spellStart"/>
      <w:r>
        <w:t>s</w:t>
      </w:r>
      <w:r w:rsidR="005D78E5">
        <w:t>tartups</w:t>
      </w:r>
      <w:proofErr w:type="spellEnd"/>
      <w:r w:rsidR="005D78E5">
        <w:t xml:space="preserve"> no supera el 2% de los datos.</w:t>
      </w:r>
    </w:p>
    <w:p w:rsidR="0087050B" w:rsidRDefault="006E79D3">
      <w:r>
        <w:t xml:space="preserve">La categoría </w:t>
      </w:r>
      <w:r w:rsidR="00AA440A">
        <w:t>v</w:t>
      </w:r>
      <w:r w:rsidR="000A7813">
        <w:t>isión a</w:t>
      </w:r>
      <w:r w:rsidR="0087050B">
        <w:t>rtificial representa el 11% de la info</w:t>
      </w:r>
      <w:r>
        <w:t>rmación perteneciente al grupo e</w:t>
      </w:r>
      <w:r w:rsidR="0087050B">
        <w:t>mpresa</w:t>
      </w:r>
      <w:r w:rsidR="00D531AD">
        <w:t xml:space="preserve">, el 9% de </w:t>
      </w:r>
      <w:proofErr w:type="spellStart"/>
      <w:r w:rsidR="00D531AD">
        <w:t>startup</w:t>
      </w:r>
      <w:r>
        <w:t>s</w:t>
      </w:r>
      <w:proofErr w:type="spellEnd"/>
      <w:r>
        <w:t>, 7% de universidades y 6% de g</w:t>
      </w:r>
      <w:r w:rsidR="00D531AD">
        <w:t xml:space="preserve">obierno. </w:t>
      </w:r>
      <w:r w:rsidR="00346FA1">
        <w:t xml:space="preserve">Buena parte de la </w:t>
      </w:r>
      <w:r w:rsidR="00346FA1">
        <w:lastRenderedPageBreak/>
        <w:t>información aquí agrupada trata de proyectos para videojuegos aunque tambi</w:t>
      </w:r>
      <w:r w:rsidR="000E2C0B">
        <w:t>én los hay de educaci</w:t>
      </w:r>
      <w:r w:rsidR="000A6E86">
        <w:t xml:space="preserve">ón digital y </w:t>
      </w:r>
      <w:r>
        <w:t>d</w:t>
      </w:r>
      <w:r w:rsidR="000A6E86">
        <w:t xml:space="preserve">esarrollo de sistemas de </w:t>
      </w:r>
      <w:r w:rsidR="00D578FB">
        <w:t>auto subtitulado</w:t>
      </w:r>
      <w:r w:rsidR="000A6E86">
        <w:t xml:space="preserve"> para imágenes en páginas web o redes sociales.</w:t>
      </w:r>
    </w:p>
    <w:p w:rsidR="00AA440A" w:rsidRDefault="00AA440A">
      <w:r>
        <w:t xml:space="preserve">Bajo la categoría computación </w:t>
      </w:r>
      <w:r w:rsidR="00AA3603">
        <w:t xml:space="preserve">se incluyen </w:t>
      </w:r>
      <w:r>
        <w:t>en su mayoría proyectos relacionados con la computación afectiva, que parece tener más actividad dentro de las universidades que en el resto de las fuentes. De hecho</w:t>
      </w:r>
      <w:r w:rsidR="007503D4">
        <w:t xml:space="preserve">, esta categoría es la tercera </w:t>
      </w:r>
      <w:r>
        <w:t>más fr</w:t>
      </w:r>
      <w:r w:rsidR="00651B6F">
        <w:t xml:space="preserve">ecuente en </w:t>
      </w:r>
      <w:r w:rsidR="00E24886">
        <w:t xml:space="preserve">dicho grupo en el que </w:t>
      </w:r>
      <w:r>
        <w:t xml:space="preserve">representa el </w:t>
      </w:r>
      <w:r w:rsidR="003D5ED7">
        <w:t>10</w:t>
      </w:r>
      <w:r>
        <w:t xml:space="preserve">% de los datos. </w:t>
      </w:r>
      <w:r w:rsidR="00AA3603">
        <w:t xml:space="preserve">En las empresas alcanza el 6%, en el grupo gobierno el 4% y en las </w:t>
      </w:r>
      <w:proofErr w:type="spellStart"/>
      <w:r w:rsidR="00AA3603">
        <w:t>startups</w:t>
      </w:r>
      <w:proofErr w:type="spellEnd"/>
      <w:r w:rsidR="00AA3603">
        <w:t xml:space="preserve"> el 2%.</w:t>
      </w:r>
    </w:p>
    <w:p w:rsidR="009015F9" w:rsidRDefault="008128BC">
      <w:r>
        <w:t xml:space="preserve">Las </w:t>
      </w:r>
      <w:r w:rsidR="00D33318">
        <w:t>categorías restantes</w:t>
      </w:r>
      <w:r w:rsidR="003D5ED7">
        <w:t>,</w:t>
      </w:r>
      <w:r w:rsidR="00AA440A">
        <w:t xml:space="preserve"> </w:t>
      </w:r>
      <w:r w:rsidR="00D33318">
        <w:t xml:space="preserve">sistemas </w:t>
      </w:r>
      <w:proofErr w:type="spellStart"/>
      <w:r w:rsidR="00D33318">
        <w:t>ciberfísicos</w:t>
      </w:r>
      <w:proofErr w:type="spellEnd"/>
      <w:r w:rsidR="00D33318">
        <w:t>, sensores, tecnología 3D, software y Smart Business</w:t>
      </w:r>
      <w:r w:rsidR="00AA440A">
        <w:t>,</w:t>
      </w:r>
      <w:r w:rsidR="00D33318">
        <w:t xml:space="preserve"> </w:t>
      </w:r>
      <w:r w:rsidR="002C454A">
        <w:t>son las que obtuvieron los porcentajes más bajos dentro del grupo de categoría</w:t>
      </w:r>
      <w:r w:rsidR="003D5ED7">
        <w:t>s con un 5% o más de frecuencia de aparición</w:t>
      </w:r>
      <w:r w:rsidR="002C454A">
        <w:t>. Llama la atención</w:t>
      </w:r>
      <w:r w:rsidR="003D5ED7">
        <w:t xml:space="preserve"> el escaso porcentaje que obtuvo</w:t>
      </w:r>
      <w:r w:rsidR="002C454A">
        <w:t xml:space="preserve"> la</w:t>
      </w:r>
      <w:r w:rsidR="003D5ED7">
        <w:t xml:space="preserve"> categoría </w:t>
      </w:r>
      <w:r w:rsidR="00DE0CE9">
        <w:t>Internet de las c</w:t>
      </w:r>
      <w:r w:rsidR="002C454A">
        <w:t>osas, sobre todo, en las informaciones p</w:t>
      </w:r>
      <w:r w:rsidR="002F1491">
        <w:t xml:space="preserve">ertenecientes al grupo </w:t>
      </w:r>
      <w:r w:rsidR="00AA3603">
        <w:t>g</w:t>
      </w:r>
      <w:r w:rsidR="002F1491">
        <w:t>obierno, en la que representa el 4% de los datos.</w:t>
      </w:r>
      <w:r w:rsidR="002C454A">
        <w:t xml:space="preserve"> </w:t>
      </w:r>
      <w:r w:rsidR="00407692">
        <w:t xml:space="preserve">Este tema es más habitual en la información procedente de las </w:t>
      </w:r>
      <w:proofErr w:type="spellStart"/>
      <w:r w:rsidR="00407692">
        <w:t>startups</w:t>
      </w:r>
      <w:proofErr w:type="spellEnd"/>
      <w:r w:rsidR="002F1491">
        <w:t xml:space="preserve"> donde supone el 6% de la información</w:t>
      </w:r>
      <w:r w:rsidR="00407692">
        <w:t>. Esto puede deberse a que se trata de una tecnología que ya está en fase de comercialización.</w:t>
      </w:r>
      <w:r w:rsidR="002F1491">
        <w:t xml:space="preserve"> </w:t>
      </w:r>
    </w:p>
    <w:p w:rsidR="00984004" w:rsidRDefault="004A5C7F" w:rsidP="003D4391">
      <w:pPr>
        <w:pStyle w:val="Ttulo2"/>
        <w:numPr>
          <w:ilvl w:val="0"/>
          <w:numId w:val="4"/>
        </w:numPr>
        <w:spacing w:before="240" w:after="240"/>
        <w:ind w:left="357" w:hanging="357"/>
        <w:rPr>
          <w:rFonts w:asciiTheme="minorHAnsi" w:hAnsiTheme="minorHAnsi"/>
          <w:color w:val="auto"/>
        </w:rPr>
      </w:pPr>
      <w:bookmarkStart w:id="9" w:name="_Toc476565898"/>
      <w:r>
        <w:rPr>
          <w:rFonts w:asciiTheme="minorHAnsi" w:hAnsiTheme="minorHAnsi"/>
          <w:color w:val="auto"/>
        </w:rPr>
        <w:t>Conclusiones: l</w:t>
      </w:r>
      <w:r w:rsidR="00F1523F">
        <w:rPr>
          <w:rFonts w:asciiTheme="minorHAnsi" w:hAnsiTheme="minorHAnsi"/>
          <w:color w:val="auto"/>
        </w:rPr>
        <w:t xml:space="preserve">a tendencia en innovación y desarrollo de </w:t>
      </w:r>
      <w:proofErr w:type="spellStart"/>
      <w:r w:rsidR="00F1523F">
        <w:rPr>
          <w:rFonts w:asciiTheme="minorHAnsi" w:hAnsiTheme="minorHAnsi"/>
          <w:color w:val="auto"/>
        </w:rPr>
        <w:t>TICs</w:t>
      </w:r>
      <w:proofErr w:type="spellEnd"/>
      <w:r w:rsidR="00F1523F">
        <w:rPr>
          <w:rFonts w:asciiTheme="minorHAnsi" w:hAnsiTheme="minorHAnsi"/>
          <w:color w:val="auto"/>
        </w:rPr>
        <w:t xml:space="preserve"> accesibles</w:t>
      </w:r>
      <w:bookmarkEnd w:id="9"/>
    </w:p>
    <w:p w:rsidR="00407692" w:rsidRDefault="00AA3603" w:rsidP="00407692">
      <w:r>
        <w:t>Según los datos analizados en este estudio, se</w:t>
      </w:r>
      <w:r w:rsidR="003D5ED7">
        <w:t xml:space="preserve"> podría decir que</w:t>
      </w:r>
      <w:r w:rsidR="00407692">
        <w:t xml:space="preserve"> la tendencia</w:t>
      </w:r>
      <w:r w:rsidR="00C4438C">
        <w:t xml:space="preserve"> actual en tecnología</w:t>
      </w:r>
      <w:r w:rsidR="00407692">
        <w:t xml:space="preserve">, en comparación a la observada en los estudios anteriores, no ha cambiado. La tecnología móvil y la robótica continúan </w:t>
      </w:r>
      <w:r w:rsidR="00C4438C">
        <w:t xml:space="preserve">dominando la actividad investigativa y </w:t>
      </w:r>
      <w:r w:rsidR="003D5ED7">
        <w:t>comercial</w:t>
      </w:r>
      <w:r w:rsidR="00C4438C">
        <w:t>.</w:t>
      </w:r>
    </w:p>
    <w:p w:rsidR="00C4438C" w:rsidRDefault="003D5ED7" w:rsidP="00C4438C">
      <w:r>
        <w:t>Además</w:t>
      </w:r>
      <w:r w:rsidR="00C4438C">
        <w:t xml:space="preserve">, a juzgar por la información analizada, puede decirse que hay una creciente tendencia hacia la robotización de las industrias. No solo se están fabricando robots para el trabajo de manufactura sino que, además, se están llevando a cabo estudios para conocer y mejorar la interacción entre las personas y los robots. </w:t>
      </w:r>
    </w:p>
    <w:p w:rsidR="00C4438C" w:rsidRDefault="00C4438C" w:rsidP="00C4438C">
      <w:r>
        <w:t xml:space="preserve">Otra tendencia observada en el ámbito de la robótica es el desarrollo de robots de asistencia o robots sociales. </w:t>
      </w:r>
      <w:r w:rsidR="003D5ED7">
        <w:t xml:space="preserve">Buena parte de la investigación y desarrollo de algoritmos se centra en dotar a los robots de capacidades afectivas. </w:t>
      </w:r>
    </w:p>
    <w:p w:rsidR="00C4438C" w:rsidRDefault="00C4438C" w:rsidP="00C4438C">
      <w:r>
        <w:t xml:space="preserve">Asimismo, se ha observado un aumento en el uso de la robótica para el desarrollo de soluciones y equipo médico. Un ejemplo son los brazos y manos robóticas capaces de realizar operaciones, coser heridas y otras funciones relacionadas con este tipo de intervenciones. </w:t>
      </w:r>
    </w:p>
    <w:p w:rsidR="001A5F3A" w:rsidRDefault="00651B6F" w:rsidP="00C4438C">
      <w:r>
        <w:t>Otra observación</w:t>
      </w:r>
      <w:r w:rsidR="001A5F3A">
        <w:t xml:space="preserve"> </w:t>
      </w:r>
      <w:r w:rsidR="003D5ED7">
        <w:t>realizada</w:t>
      </w:r>
      <w:r w:rsidR="001A5F3A">
        <w:t xml:space="preserve"> es el escaso porcentaje de aparición con que suele aparecer el tema de tecnología para discapacidad en la información que aportan las </w:t>
      </w:r>
      <w:proofErr w:type="spellStart"/>
      <w:r w:rsidR="001A5F3A">
        <w:t>star</w:t>
      </w:r>
      <w:r>
        <w:t>t</w:t>
      </w:r>
      <w:r w:rsidR="001A5F3A">
        <w:t>ups</w:t>
      </w:r>
      <w:proofErr w:type="spellEnd"/>
      <w:r w:rsidR="001A5F3A">
        <w:t xml:space="preserve">. </w:t>
      </w:r>
      <w:r w:rsidR="00D578FB">
        <w:t>Estas em</w:t>
      </w:r>
      <w:r w:rsidR="001A5F3A">
        <w:t>p</w:t>
      </w:r>
      <w:r w:rsidR="00D578FB">
        <w:t>r</w:t>
      </w:r>
      <w:r w:rsidR="001A5F3A">
        <w:t>esas suelen centrar su actividad comercial en el desarrollo de productos y servicios</w:t>
      </w:r>
      <w:r w:rsidR="00D578FB">
        <w:t xml:space="preserve"> para gestión administrativa empresarial, como por ejemplo, aplicaciones móviles que analizan datos de clientes o de apoyo al negocio (back office </w:t>
      </w:r>
      <w:proofErr w:type="spellStart"/>
      <w:r w:rsidR="00D578FB">
        <w:t>support</w:t>
      </w:r>
      <w:proofErr w:type="spellEnd"/>
      <w:r w:rsidR="00D578FB">
        <w:t xml:space="preserve">). </w:t>
      </w:r>
    </w:p>
    <w:p w:rsidR="00B93071" w:rsidRDefault="00B93071" w:rsidP="00C4438C">
      <w:r>
        <w:t xml:space="preserve">Esta situación puede deberse, por un lado, a la falta de conocimientos o de conciencia por parte de los propietarios y socios de las </w:t>
      </w:r>
      <w:proofErr w:type="spellStart"/>
      <w:r>
        <w:t>startups</w:t>
      </w:r>
      <w:proofErr w:type="spellEnd"/>
      <w:r>
        <w:t xml:space="preserve"> de cómo sus </w:t>
      </w:r>
      <w:r w:rsidR="003D5ED7">
        <w:t xml:space="preserve">habilidades </w:t>
      </w:r>
      <w:r>
        <w:t>pueden contribuir al desarrollo de soluciones para personas con discapacidad. Por el otro, al poco éxito comercial que muchos de estos productos tienen, que lleva a estos emprendedores a optar po</w:t>
      </w:r>
      <w:r w:rsidR="00651B6F">
        <w:t xml:space="preserve">r productos y servicios que suelen tener más éxito de venta en el mercado. </w:t>
      </w:r>
    </w:p>
    <w:p w:rsidR="00D471EB" w:rsidRDefault="00D471EB" w:rsidP="00CA1ED7">
      <w:pPr>
        <w:pStyle w:val="Ttulo2"/>
        <w:numPr>
          <w:ilvl w:val="0"/>
          <w:numId w:val="4"/>
        </w:numPr>
        <w:spacing w:before="240" w:after="240"/>
        <w:ind w:left="357" w:hanging="357"/>
        <w:rPr>
          <w:rFonts w:asciiTheme="minorHAnsi" w:hAnsiTheme="minorHAnsi"/>
          <w:color w:val="auto"/>
        </w:rPr>
      </w:pPr>
      <w:bookmarkStart w:id="10" w:name="_Toc476565899"/>
      <w:r w:rsidRPr="00FE1CE7">
        <w:rPr>
          <w:rFonts w:asciiTheme="minorHAnsi" w:hAnsiTheme="minorHAnsi"/>
          <w:color w:val="auto"/>
        </w:rPr>
        <w:lastRenderedPageBreak/>
        <w:t>Anexo</w:t>
      </w:r>
      <w:r w:rsidR="00175070" w:rsidRPr="00FE1CE7">
        <w:rPr>
          <w:rFonts w:asciiTheme="minorHAnsi" w:hAnsiTheme="minorHAnsi"/>
          <w:color w:val="auto"/>
        </w:rPr>
        <w:t xml:space="preserve"> </w:t>
      </w:r>
      <w:r w:rsidR="002E58AF">
        <w:rPr>
          <w:rFonts w:asciiTheme="minorHAnsi" w:hAnsiTheme="minorHAnsi"/>
          <w:color w:val="auto"/>
        </w:rPr>
        <w:t>A</w:t>
      </w:r>
      <w:bookmarkEnd w:id="10"/>
    </w:p>
    <w:p w:rsidR="00D471EB" w:rsidRPr="00EB2D05" w:rsidRDefault="00EB2D05" w:rsidP="00EB2D05">
      <w:pPr>
        <w:pStyle w:val="Epgrafe"/>
        <w:jc w:val="center"/>
        <w:rPr>
          <w:b w:val="0"/>
          <w:color w:val="auto"/>
          <w:sz w:val="22"/>
          <w:szCs w:val="22"/>
        </w:rPr>
      </w:pPr>
      <w:r w:rsidRPr="00EB2D05">
        <w:rPr>
          <w:b w:val="0"/>
          <w:color w:val="auto"/>
          <w:sz w:val="22"/>
          <w:szCs w:val="22"/>
        </w:rPr>
        <w:t xml:space="preserve">Tabla </w:t>
      </w:r>
      <w:r w:rsidRPr="00EB2D05">
        <w:rPr>
          <w:b w:val="0"/>
          <w:color w:val="auto"/>
          <w:sz w:val="22"/>
          <w:szCs w:val="22"/>
        </w:rPr>
        <w:fldChar w:fldCharType="begin"/>
      </w:r>
      <w:r w:rsidRPr="00EB2D05">
        <w:rPr>
          <w:b w:val="0"/>
          <w:color w:val="auto"/>
          <w:sz w:val="22"/>
          <w:szCs w:val="22"/>
        </w:rPr>
        <w:instrText xml:space="preserve"> SEQ Tabla \* ARABIC </w:instrText>
      </w:r>
      <w:r w:rsidRPr="00EB2D05">
        <w:rPr>
          <w:b w:val="0"/>
          <w:color w:val="auto"/>
          <w:sz w:val="22"/>
          <w:szCs w:val="22"/>
        </w:rPr>
        <w:fldChar w:fldCharType="separate"/>
      </w:r>
      <w:r w:rsidR="00D83858">
        <w:rPr>
          <w:b w:val="0"/>
          <w:noProof/>
          <w:color w:val="auto"/>
          <w:sz w:val="22"/>
          <w:szCs w:val="22"/>
        </w:rPr>
        <w:t>1</w:t>
      </w:r>
      <w:r w:rsidRPr="00EB2D05">
        <w:rPr>
          <w:b w:val="0"/>
          <w:color w:val="auto"/>
          <w:sz w:val="22"/>
          <w:szCs w:val="22"/>
        </w:rPr>
        <w:fldChar w:fldCharType="end"/>
      </w:r>
      <w:r w:rsidRPr="00EB2D05">
        <w:rPr>
          <w:b w:val="0"/>
          <w:color w:val="auto"/>
          <w:sz w:val="22"/>
          <w:szCs w:val="22"/>
        </w:rPr>
        <w:t>-A. Porcentaje de categorías temáticas (n=3284)</w:t>
      </w:r>
    </w:p>
    <w:tbl>
      <w:tblPr>
        <w:tblW w:w="5254" w:type="dxa"/>
        <w:jc w:val="center"/>
        <w:tblCellMar>
          <w:left w:w="70" w:type="dxa"/>
          <w:right w:w="70" w:type="dxa"/>
        </w:tblCellMar>
        <w:tblLook w:val="04A0" w:firstRow="1" w:lastRow="0" w:firstColumn="1" w:lastColumn="0" w:noHBand="0" w:noVBand="1"/>
      </w:tblPr>
      <w:tblGrid>
        <w:gridCol w:w="2854"/>
        <w:gridCol w:w="1200"/>
        <w:gridCol w:w="1200"/>
      </w:tblGrid>
      <w:tr w:rsidR="00AA15BA" w:rsidRPr="00AA15BA" w:rsidTr="006523EC">
        <w:trPr>
          <w:cantSplit/>
          <w:trHeight w:val="300"/>
          <w:tblHeader/>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Etiqueta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Frecuencia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sidRPr="00AA15BA">
              <w:rPr>
                <w:rFonts w:ascii="Calibri" w:eastAsia="Times New Roman" w:hAnsi="Calibri" w:cs="Times New Roman"/>
                <w:b/>
                <w:bCs/>
                <w:lang w:eastAsia="es-ES"/>
              </w:rPr>
              <w:t>%</w:t>
            </w:r>
          </w:p>
        </w:tc>
      </w:tr>
      <w:tr w:rsidR="00AA15BA" w:rsidRPr="00AA15BA" w:rsidTr="006523EC">
        <w:trPr>
          <w:cantSplit/>
          <w:trHeight w:val="300"/>
          <w:tblHeader/>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Móvil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438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13,3%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Robótica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397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12,1%</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Salud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7,9%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Visión Artificial</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7,4%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Aprendizaje Automático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228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Discapacidad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207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Sensor</w:t>
            </w:r>
            <w:r w:rsidR="00654648">
              <w:rPr>
                <w:rFonts w:ascii="Calibri" w:eastAsia="Times New Roman" w:hAnsi="Calibri" w:cs="Times New Roman"/>
                <w:color w:val="000000"/>
                <w:lang w:eastAsia="es-ES"/>
              </w:rPr>
              <w:t>e</w:t>
            </w:r>
            <w:r w:rsidRPr="00AA15BA">
              <w:rPr>
                <w:rFonts w:ascii="Calibri" w:eastAsia="Times New Roman" w:hAnsi="Calibri" w:cs="Times New Roman"/>
                <w:color w:val="000000"/>
                <w:lang w:eastAsia="es-ES"/>
              </w:rPr>
              <w:t>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151</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146</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654648">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 xml:space="preserve">Internet </w:t>
            </w:r>
            <w:r w:rsidR="00654648">
              <w:rPr>
                <w:rFonts w:ascii="Calibri" w:eastAsia="Times New Roman" w:hAnsi="Calibri" w:cs="Times New Roman"/>
                <w:color w:val="000000"/>
                <w:lang w:eastAsia="es-ES"/>
              </w:rPr>
              <w:t>de las Cosas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lang w:eastAsia="es-ES"/>
              </w:rPr>
            </w:pPr>
            <w:r>
              <w:rPr>
                <w:rFonts w:ascii="Calibri" w:eastAsia="Times New Roman" w:hAnsi="Calibri" w:cs="Times New Roman"/>
                <w:lang w:eastAsia="es-ES"/>
              </w:rPr>
              <w:t>Tecnología 3D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114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lang w:eastAsia="es-ES"/>
              </w:rPr>
            </w:pPr>
            <w:r w:rsidRPr="00AA15BA">
              <w:rPr>
                <w:rFonts w:ascii="Calibri" w:eastAsia="Times New Roman" w:hAnsi="Calibri" w:cs="Times New Roman"/>
                <w:lang w:eastAsia="es-ES"/>
              </w:rPr>
              <w:t>Big Data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92</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Sistemas </w:t>
            </w:r>
            <w:proofErr w:type="spellStart"/>
            <w:r>
              <w:rPr>
                <w:rFonts w:ascii="Calibri" w:eastAsia="Times New Roman" w:hAnsi="Calibri" w:cs="Times New Roman"/>
                <w:color w:val="000000"/>
                <w:lang w:eastAsia="es-ES"/>
              </w:rPr>
              <w:t>Ciberfísicos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90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w:t>
            </w:r>
            <w:r w:rsidR="00413234">
              <w:rPr>
                <w:rFonts w:ascii="Calibri" w:eastAsia="Times New Roman" w:hAnsi="Calibri" w:cs="Times New Roman"/>
                <w:color w:val="000000"/>
                <w:lang w:eastAsia="es-ES"/>
              </w:rPr>
              <w:t>o</w:t>
            </w:r>
            <w:r>
              <w:rPr>
                <w:rFonts w:ascii="Calibri" w:eastAsia="Times New Roman" w:hAnsi="Calibri" w:cs="Times New Roman"/>
                <w:color w:val="000000"/>
                <w:lang w:eastAsia="es-ES"/>
              </w:rPr>
              <w:t>gía para Educación</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lang w:eastAsia="es-ES"/>
              </w:rPr>
            </w:pPr>
            <w:r>
              <w:rPr>
                <w:rFonts w:ascii="Calibri" w:eastAsia="Times New Roman" w:hAnsi="Calibri" w:cs="Times New Roman"/>
                <w:lang w:eastAsia="es-ES"/>
              </w:rPr>
              <w:t>Computación en la Nube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Inalámbrica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Smart B</w:t>
            </w:r>
            <w:r w:rsidR="00AA15BA" w:rsidRPr="00AA15BA">
              <w:rPr>
                <w:rFonts w:ascii="Calibri" w:eastAsia="Times New Roman" w:hAnsi="Calibri" w:cs="Times New Roman"/>
                <w:color w:val="000000"/>
                <w:lang w:eastAsia="es-ES"/>
              </w:rPr>
              <w:t>usiness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2,0%</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654648">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 xml:space="preserve">Software </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Social</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59</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Ciudades Inteligentes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de Voz</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51</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Fotónica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46</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Web</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1,1%</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Hardware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w:t>
            </w:r>
            <w:r w:rsidR="00AA15BA" w:rsidRPr="00AA15BA">
              <w:rPr>
                <w:rFonts w:ascii="Calibri" w:eastAsia="Times New Roman" w:hAnsi="Calibri" w:cs="Times New Roman"/>
                <w:color w:val="000000"/>
                <w:lang w:eastAsia="es-ES"/>
              </w:rPr>
              <w:t>ransport</w:t>
            </w:r>
            <w:r>
              <w:rPr>
                <w:rFonts w:ascii="Calibri" w:eastAsia="Times New Roman" w:hAnsi="Calibri" w:cs="Times New Roman"/>
                <w:color w:val="000000"/>
                <w:lang w:eastAsia="es-ES"/>
              </w:rPr>
              <w:t>e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Energía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Usabilidad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Nanotecnología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color w:val="000000"/>
                <w:lang w:eastAsia="es-ES"/>
              </w:rPr>
            </w:pPr>
            <w:proofErr w:type="spellStart"/>
            <w:r w:rsidRPr="00AA15BA">
              <w:rPr>
                <w:rFonts w:ascii="Calibri" w:eastAsia="Times New Roman" w:hAnsi="Calibri" w:cs="Times New Roman"/>
                <w:color w:val="000000"/>
                <w:lang w:eastAsia="es-ES"/>
              </w:rPr>
              <w:t>Brain</w:t>
            </w:r>
            <w:proofErr w:type="spellEnd"/>
            <w:r w:rsidRPr="00AA15BA">
              <w:rPr>
                <w:rFonts w:ascii="Calibri" w:eastAsia="Times New Roman" w:hAnsi="Calibri" w:cs="Times New Roman"/>
                <w:color w:val="000000"/>
                <w:lang w:eastAsia="es-ES"/>
              </w:rPr>
              <w:t xml:space="preserve"> </w:t>
            </w:r>
            <w:proofErr w:type="spellStart"/>
            <w:r w:rsidRPr="00AA15BA">
              <w:rPr>
                <w:rFonts w:ascii="Calibri" w:eastAsia="Times New Roman" w:hAnsi="Calibri" w:cs="Times New Roman"/>
                <w:color w:val="000000"/>
                <w:lang w:eastAsia="es-ES"/>
              </w:rPr>
              <w:t>Research</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12</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D77AE5" w:rsidP="00AA15B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Agrability</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0,2%</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w:t>
            </w:r>
            <w:r w:rsidR="00AA15BA" w:rsidRPr="00AA15BA">
              <w:rPr>
                <w:rFonts w:ascii="Calibri" w:eastAsia="Times New Roman" w:hAnsi="Calibri" w:cs="Times New Roman"/>
                <w:color w:val="000000"/>
                <w:lang w:eastAsia="es-ES"/>
              </w:rPr>
              <w:t>nternet</w:t>
            </w:r>
            <w:r>
              <w:rPr>
                <w:rFonts w:ascii="Calibri" w:eastAsia="Times New Roman" w:hAnsi="Calibri" w:cs="Times New Roman"/>
                <w:color w:val="000000"/>
                <w:lang w:eastAsia="es-ES"/>
              </w:rPr>
              <w:t xml:space="preserve"> Futuro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0,2%</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Material Ultraligero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0,1%</w:t>
            </w:r>
          </w:p>
        </w:tc>
      </w:tr>
    </w:tbl>
    <w:p w:rsidR="00343C36" w:rsidRDefault="00343C36" w:rsidP="00001E52"/>
    <w:p w:rsidR="00343C36" w:rsidRDefault="00343C36">
      <w:r>
        <w:br w:type="page"/>
      </w:r>
    </w:p>
    <w:p w:rsidR="002B5967" w:rsidRPr="00EB2D05" w:rsidRDefault="00EB2D05" w:rsidP="00EB2D05">
      <w:pPr>
        <w:pStyle w:val="Epgrafe"/>
        <w:jc w:val="center"/>
        <w:rPr>
          <w:b w:val="0"/>
          <w:color w:val="auto"/>
          <w:sz w:val="24"/>
          <w:szCs w:val="24"/>
        </w:rPr>
      </w:pPr>
      <w:r w:rsidRPr="00EB2D05">
        <w:rPr>
          <w:b w:val="0"/>
          <w:color w:val="auto"/>
          <w:sz w:val="24"/>
          <w:szCs w:val="24"/>
        </w:rPr>
        <w:lastRenderedPageBreak/>
        <w:t xml:space="preserve">Tabla </w:t>
      </w:r>
      <w:r w:rsidRPr="00EB2D05">
        <w:rPr>
          <w:b w:val="0"/>
          <w:color w:val="auto"/>
          <w:sz w:val="24"/>
          <w:szCs w:val="24"/>
        </w:rPr>
        <w:fldChar w:fldCharType="begin"/>
      </w:r>
      <w:r w:rsidRPr="00EB2D05">
        <w:rPr>
          <w:b w:val="0"/>
          <w:color w:val="auto"/>
          <w:sz w:val="24"/>
          <w:szCs w:val="24"/>
        </w:rPr>
        <w:instrText xml:space="preserve"> SEQ Tabla \* ARABIC </w:instrText>
      </w:r>
      <w:r w:rsidRPr="00EB2D05">
        <w:rPr>
          <w:b w:val="0"/>
          <w:color w:val="auto"/>
          <w:sz w:val="24"/>
          <w:szCs w:val="24"/>
        </w:rPr>
        <w:fldChar w:fldCharType="separate"/>
      </w:r>
      <w:r w:rsidR="00D83858">
        <w:rPr>
          <w:b w:val="0"/>
          <w:noProof/>
          <w:color w:val="auto"/>
          <w:sz w:val="24"/>
          <w:szCs w:val="24"/>
        </w:rPr>
        <w:t>2</w:t>
      </w:r>
      <w:r w:rsidRPr="00EB2D05">
        <w:rPr>
          <w:b w:val="0"/>
          <w:color w:val="auto"/>
          <w:sz w:val="24"/>
          <w:szCs w:val="24"/>
        </w:rPr>
        <w:fldChar w:fldCharType="end"/>
      </w:r>
      <w:r w:rsidRPr="00EB2D05">
        <w:rPr>
          <w:b w:val="0"/>
          <w:color w:val="auto"/>
          <w:sz w:val="24"/>
          <w:szCs w:val="24"/>
        </w:rPr>
        <w:t>-A. Porcentaje de categorías temáticas por grupo de fuentes</w:t>
      </w:r>
    </w:p>
    <w:tbl>
      <w:tblPr>
        <w:tblW w:w="76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200"/>
        <w:gridCol w:w="1236"/>
        <w:gridCol w:w="1200"/>
        <w:gridCol w:w="1200"/>
      </w:tblGrid>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1" w:name="ColumTitle_EtiquetasTemáticas"/>
            <w:bookmarkEnd w:id="11"/>
            <w:r>
              <w:rPr>
                <w:rFonts w:ascii="Calibri" w:eastAsia="Times New Roman" w:hAnsi="Calibri" w:cs="Calibri"/>
                <w:b/>
                <w:bCs/>
                <w:lang w:eastAsia="es-ES"/>
              </w:rPr>
              <w:t>Etiquetas</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2" w:name="ColumTitle_PorcentajeFrecuenciasGobierno"/>
            <w:bookmarkEnd w:id="12"/>
            <w:r>
              <w:rPr>
                <w:rFonts w:ascii="Calibri" w:eastAsia="Times New Roman" w:hAnsi="Calibri" w:cs="Calibri"/>
                <w:b/>
                <w:bCs/>
                <w:lang w:eastAsia="es-ES"/>
              </w:rPr>
              <w:t>Gobierno (n=1330)</w:t>
            </w:r>
          </w:p>
        </w:tc>
        <w:tc>
          <w:tcPr>
            <w:tcW w:w="1236"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3" w:name="ColumTitle_PorcentajesUniversidad"/>
            <w:bookmarkEnd w:id="13"/>
            <w:r>
              <w:rPr>
                <w:rFonts w:ascii="Calibri" w:eastAsia="Times New Roman" w:hAnsi="Calibri" w:cs="Calibri"/>
                <w:b/>
                <w:bCs/>
                <w:lang w:eastAsia="es-ES"/>
              </w:rPr>
              <w:t>Universidad (n=727)</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4" w:name="ColumTitle_PorcentajesStartUps"/>
            <w:bookmarkEnd w:id="14"/>
            <w:proofErr w:type="spellStart"/>
            <w:r w:rsidRPr="00EA4B40">
              <w:rPr>
                <w:rFonts w:ascii="Calibri" w:eastAsia="Times New Roman" w:hAnsi="Calibri" w:cs="Calibri"/>
                <w:b/>
                <w:bCs/>
                <w:lang w:eastAsia="es-ES"/>
              </w:rPr>
              <w:t>Startups</w:t>
            </w:r>
            <w:proofErr w:type="spellEnd"/>
            <w:r>
              <w:rPr>
                <w:rFonts w:ascii="Calibri" w:eastAsia="Times New Roman" w:hAnsi="Calibri" w:cs="Calibri"/>
                <w:b/>
                <w:bCs/>
                <w:lang w:eastAsia="es-ES"/>
              </w:rPr>
              <w:t xml:space="preserve"> (n=764)</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5" w:name="ColumTitle_PorcentajesEmpresas"/>
            <w:bookmarkEnd w:id="15"/>
            <w:r>
              <w:rPr>
                <w:rFonts w:ascii="Calibri" w:eastAsia="Times New Roman" w:hAnsi="Calibri" w:cs="Calibri"/>
                <w:b/>
                <w:bCs/>
                <w:lang w:eastAsia="es-ES"/>
              </w:rPr>
              <w:t>Empresas (n=462)</w:t>
            </w:r>
            <w:r w:rsidRPr="00EA4B40">
              <w:rPr>
                <w:rFonts w:ascii="Calibri" w:eastAsia="Times New Roman" w:hAnsi="Calibri" w:cs="Calibri"/>
                <w:b/>
                <w:bCs/>
                <w:lang w:eastAsia="es-ES"/>
              </w:rPr>
              <w:t xml:space="preserve"> </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Robótica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14,0%</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móvil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7,7%</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Salud inteligente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10,3%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4,6%</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Aprendizaje automático</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7,3%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discapacidad</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12,6%</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Visión artificial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9,0%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11,0%</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Sistemas </w:t>
            </w:r>
            <w:proofErr w:type="spellStart"/>
            <w:r>
              <w:rPr>
                <w:rFonts w:ascii="Calibri" w:eastAsia="Times New Roman" w:hAnsi="Calibri" w:cs="Calibri"/>
                <w:color w:val="000000"/>
                <w:lang w:eastAsia="es-ES"/>
              </w:rPr>
              <w:t>ciberfísicos</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Ciudades inteligentes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Sensores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5,1%</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educación</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sidRPr="00EA4B40">
              <w:rPr>
                <w:rFonts w:ascii="Calibri" w:eastAsia="Times New Roman" w:hAnsi="Calibri" w:cs="Calibri"/>
                <w:color w:val="000000"/>
                <w:lang w:eastAsia="es-ES"/>
              </w:rPr>
              <w:t xml:space="preserve">Internet </w:t>
            </w:r>
            <w:r>
              <w:rPr>
                <w:rFonts w:ascii="Calibri" w:eastAsia="Times New Roman" w:hAnsi="Calibri" w:cs="Calibri"/>
                <w:color w:val="000000"/>
                <w:lang w:eastAsia="es-ES"/>
              </w:rPr>
              <w:t>de las cosas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3,8%</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sidRPr="00EA4B40">
              <w:rPr>
                <w:rFonts w:ascii="Calibri" w:eastAsia="Times New Roman" w:hAnsi="Calibri" w:cs="Calibri"/>
                <w:lang w:eastAsia="es-ES"/>
              </w:rPr>
              <w:t>Big Data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inalámbrica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Computación</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9,5%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4,3%</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Pr>
                <w:rFonts w:ascii="Calibri" w:eastAsia="Times New Roman" w:hAnsi="Calibri" w:cs="Calibri"/>
                <w:lang w:eastAsia="es-ES"/>
              </w:rPr>
              <w:t xml:space="preserve">Tecnología </w:t>
            </w:r>
            <w:r w:rsidRPr="00EA4B40">
              <w:rPr>
                <w:rFonts w:ascii="Calibri" w:eastAsia="Times New Roman" w:hAnsi="Calibri" w:cs="Calibri"/>
                <w:lang w:eastAsia="es-ES"/>
              </w:rPr>
              <w:t xml:space="preserve">3D </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3,0%</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Pr>
                <w:rFonts w:ascii="Calibri" w:eastAsia="Times New Roman" w:hAnsi="Calibri" w:cs="Calibri"/>
                <w:lang w:eastAsia="es-ES"/>
              </w:rPr>
              <w:t>Computación en la nube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Desarrollo de s</w:t>
            </w:r>
            <w:r w:rsidRPr="00EA4B40">
              <w:rPr>
                <w:rFonts w:ascii="Calibri" w:eastAsia="Times New Roman" w:hAnsi="Calibri" w:cs="Calibri"/>
                <w:color w:val="000000"/>
                <w:lang w:eastAsia="es-ES"/>
              </w:rPr>
              <w:t xml:space="preserve">oftware </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social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web</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de voz</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Smart B</w:t>
            </w:r>
            <w:r w:rsidRPr="00EA4B40">
              <w:rPr>
                <w:rFonts w:ascii="Calibri" w:eastAsia="Times New Roman" w:hAnsi="Calibri" w:cs="Calibri"/>
                <w:color w:val="000000"/>
                <w:lang w:eastAsia="es-ES"/>
              </w:rPr>
              <w:t>usiness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1,0%</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Nanotenología</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sidRPr="00EA4B40">
              <w:rPr>
                <w:rFonts w:ascii="Calibri" w:eastAsia="Times New Roman" w:hAnsi="Calibri" w:cs="Calibri"/>
                <w:color w:val="000000"/>
                <w:lang w:eastAsia="es-ES"/>
              </w:rPr>
              <w:t>Brain</w:t>
            </w:r>
            <w:proofErr w:type="spellEnd"/>
            <w:r w:rsidRPr="00EA4B40">
              <w:rPr>
                <w:rFonts w:ascii="Calibri" w:eastAsia="Times New Roman" w:hAnsi="Calibri" w:cs="Calibri"/>
                <w:color w:val="000000"/>
                <w:lang w:eastAsia="es-ES"/>
              </w:rPr>
              <w:t xml:space="preserve"> </w:t>
            </w:r>
            <w:proofErr w:type="spellStart"/>
            <w:r w:rsidRPr="00EA4B40">
              <w:rPr>
                <w:rFonts w:ascii="Calibri" w:eastAsia="Times New Roman" w:hAnsi="Calibri" w:cs="Calibri"/>
                <w:color w:val="000000"/>
                <w:lang w:eastAsia="es-ES"/>
              </w:rPr>
              <w:t>Research</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Fotónica</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Desarrollo de hardware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Internet Futuro</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Usabilidad</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sidRPr="00EA4B40">
              <w:rPr>
                <w:rFonts w:ascii="Calibri" w:eastAsia="Times New Roman" w:hAnsi="Calibri" w:cs="Calibri"/>
                <w:color w:val="000000"/>
                <w:lang w:eastAsia="es-ES"/>
              </w:rPr>
              <w:t>Agrability</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r>
    </w:tbl>
    <w:p w:rsidR="002B5967" w:rsidRDefault="002B5967" w:rsidP="002B5967"/>
    <w:sectPr w:rsidR="002B5967" w:rsidSect="00CB0966">
      <w:footerReference w:type="default" r:id="rId14"/>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592" w:rsidRDefault="00C44592" w:rsidP="008416C0">
      <w:pPr>
        <w:spacing w:after="0" w:line="240" w:lineRule="auto"/>
      </w:pPr>
      <w:r>
        <w:separator/>
      </w:r>
    </w:p>
  </w:endnote>
  <w:endnote w:type="continuationSeparator" w:id="0">
    <w:p w:rsidR="00C44592" w:rsidRDefault="00C44592" w:rsidP="0084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85267"/>
      <w:docPartObj>
        <w:docPartGallery w:val="Page Numbers (Bottom of Page)"/>
        <w:docPartUnique/>
      </w:docPartObj>
    </w:sdtPr>
    <w:sdtEndPr/>
    <w:sdtContent>
      <w:p w:rsidR="006964D7" w:rsidRDefault="006964D7">
        <w:pPr>
          <w:pStyle w:val="Piedepgina"/>
          <w:jc w:val="right"/>
        </w:pPr>
        <w:r>
          <w:fldChar w:fldCharType="begin"/>
        </w:r>
        <w:r>
          <w:instrText>PAGE   \* MERGEFORMAT</w:instrText>
        </w:r>
        <w:r>
          <w:fldChar w:fldCharType="separate"/>
        </w:r>
        <w:r w:rsidR="00D83858">
          <w:rPr>
            <w:noProof/>
          </w:rPr>
          <w:t>2</w:t>
        </w:r>
        <w:r>
          <w:fldChar w:fldCharType="end"/>
        </w:r>
      </w:p>
    </w:sdtContent>
  </w:sdt>
  <w:p w:rsidR="006964D7" w:rsidRDefault="00696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592" w:rsidRDefault="00C44592" w:rsidP="008416C0">
      <w:pPr>
        <w:spacing w:after="0" w:line="240" w:lineRule="auto"/>
      </w:pPr>
      <w:r>
        <w:separator/>
      </w:r>
    </w:p>
  </w:footnote>
  <w:footnote w:type="continuationSeparator" w:id="0">
    <w:p w:rsidR="00C44592" w:rsidRDefault="00C44592" w:rsidP="00841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D0B"/>
    <w:multiLevelType w:val="hybridMultilevel"/>
    <w:tmpl w:val="CBEC9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63F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D2D37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E73AF"/>
    <w:multiLevelType w:val="hybridMultilevel"/>
    <w:tmpl w:val="A8FC5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6C3E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8175E1"/>
    <w:multiLevelType w:val="hybridMultilevel"/>
    <w:tmpl w:val="FC36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B91DE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D41003"/>
    <w:multiLevelType w:val="hybridMultilevel"/>
    <w:tmpl w:val="0E5C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D045F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801A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8E43FE"/>
    <w:multiLevelType w:val="hybridMultilevel"/>
    <w:tmpl w:val="67361E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AE4A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74590D"/>
    <w:multiLevelType w:val="hybridMultilevel"/>
    <w:tmpl w:val="01E883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5B4B5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9A794A"/>
    <w:multiLevelType w:val="hybridMultilevel"/>
    <w:tmpl w:val="A3C41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8E611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8748B9"/>
    <w:multiLevelType w:val="hybridMultilevel"/>
    <w:tmpl w:val="6D7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52F29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B61A3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8805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A02D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0C6E66"/>
    <w:multiLevelType w:val="hybridMultilevel"/>
    <w:tmpl w:val="032A99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221863"/>
    <w:multiLevelType w:val="hybridMultilevel"/>
    <w:tmpl w:val="85A2F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D36D85"/>
    <w:multiLevelType w:val="hybridMultilevel"/>
    <w:tmpl w:val="B5D89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E65BE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E229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E749EE"/>
    <w:multiLevelType w:val="hybridMultilevel"/>
    <w:tmpl w:val="F2263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ED4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
  </w:num>
  <w:num w:numId="5">
    <w:abstractNumId w:val="0"/>
  </w:num>
  <w:num w:numId="6">
    <w:abstractNumId w:val="8"/>
  </w:num>
  <w:num w:numId="7">
    <w:abstractNumId w:val="23"/>
  </w:num>
  <w:num w:numId="8">
    <w:abstractNumId w:val="4"/>
  </w:num>
  <w:num w:numId="9">
    <w:abstractNumId w:val="9"/>
  </w:num>
  <w:num w:numId="10">
    <w:abstractNumId w:val="18"/>
  </w:num>
  <w:num w:numId="11">
    <w:abstractNumId w:val="27"/>
  </w:num>
  <w:num w:numId="12">
    <w:abstractNumId w:val="3"/>
  </w:num>
  <w:num w:numId="13">
    <w:abstractNumId w:val="16"/>
  </w:num>
  <w:num w:numId="14">
    <w:abstractNumId w:val="19"/>
  </w:num>
  <w:num w:numId="15">
    <w:abstractNumId w:val="7"/>
  </w:num>
  <w:num w:numId="16">
    <w:abstractNumId w:val="25"/>
  </w:num>
  <w:num w:numId="17">
    <w:abstractNumId w:val="12"/>
  </w:num>
  <w:num w:numId="18">
    <w:abstractNumId w:val="10"/>
  </w:num>
  <w:num w:numId="19">
    <w:abstractNumId w:val="21"/>
  </w:num>
  <w:num w:numId="20">
    <w:abstractNumId w:val="14"/>
  </w:num>
  <w:num w:numId="21">
    <w:abstractNumId w:val="2"/>
  </w:num>
  <w:num w:numId="22">
    <w:abstractNumId w:val="20"/>
  </w:num>
  <w:num w:numId="23">
    <w:abstractNumId w:val="15"/>
  </w:num>
  <w:num w:numId="24">
    <w:abstractNumId w:val="13"/>
  </w:num>
  <w:num w:numId="25">
    <w:abstractNumId w:val="24"/>
  </w:num>
  <w:num w:numId="26">
    <w:abstractNumId w:val="26"/>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9"/>
    <w:rsid w:val="000002C2"/>
    <w:rsid w:val="0000194E"/>
    <w:rsid w:val="00001C34"/>
    <w:rsid w:val="00001E52"/>
    <w:rsid w:val="000034E6"/>
    <w:rsid w:val="000078DF"/>
    <w:rsid w:val="0001072B"/>
    <w:rsid w:val="000149A1"/>
    <w:rsid w:val="00020CD9"/>
    <w:rsid w:val="00021880"/>
    <w:rsid w:val="000229D0"/>
    <w:rsid w:val="00023B22"/>
    <w:rsid w:val="000247FD"/>
    <w:rsid w:val="00025CD8"/>
    <w:rsid w:val="00026431"/>
    <w:rsid w:val="00030222"/>
    <w:rsid w:val="00034108"/>
    <w:rsid w:val="0004314D"/>
    <w:rsid w:val="00043155"/>
    <w:rsid w:val="00046F15"/>
    <w:rsid w:val="00046F1A"/>
    <w:rsid w:val="00053272"/>
    <w:rsid w:val="00060C41"/>
    <w:rsid w:val="00071054"/>
    <w:rsid w:val="00075485"/>
    <w:rsid w:val="000760B4"/>
    <w:rsid w:val="00085065"/>
    <w:rsid w:val="00096331"/>
    <w:rsid w:val="00096DA9"/>
    <w:rsid w:val="00096DAA"/>
    <w:rsid w:val="000A5BF4"/>
    <w:rsid w:val="000A6BA3"/>
    <w:rsid w:val="000A6E86"/>
    <w:rsid w:val="000A7813"/>
    <w:rsid w:val="000B4FB7"/>
    <w:rsid w:val="000B53FD"/>
    <w:rsid w:val="000B56CE"/>
    <w:rsid w:val="000B6B09"/>
    <w:rsid w:val="000C366B"/>
    <w:rsid w:val="000C62F0"/>
    <w:rsid w:val="000C6AA0"/>
    <w:rsid w:val="000D125F"/>
    <w:rsid w:val="000D4C54"/>
    <w:rsid w:val="000D6363"/>
    <w:rsid w:val="000D63C7"/>
    <w:rsid w:val="000E0B1A"/>
    <w:rsid w:val="000E2C0B"/>
    <w:rsid w:val="000E346D"/>
    <w:rsid w:val="000E3D6C"/>
    <w:rsid w:val="000E5C19"/>
    <w:rsid w:val="000E7D21"/>
    <w:rsid w:val="000F5684"/>
    <w:rsid w:val="000F6117"/>
    <w:rsid w:val="00100CAC"/>
    <w:rsid w:val="00110909"/>
    <w:rsid w:val="00114C92"/>
    <w:rsid w:val="00116193"/>
    <w:rsid w:val="00116545"/>
    <w:rsid w:val="001210EF"/>
    <w:rsid w:val="00121256"/>
    <w:rsid w:val="00122275"/>
    <w:rsid w:val="001356DB"/>
    <w:rsid w:val="00136332"/>
    <w:rsid w:val="00137BE8"/>
    <w:rsid w:val="00143A7F"/>
    <w:rsid w:val="00145E2D"/>
    <w:rsid w:val="001505FF"/>
    <w:rsid w:val="00151053"/>
    <w:rsid w:val="001531E1"/>
    <w:rsid w:val="001559F7"/>
    <w:rsid w:val="00157F21"/>
    <w:rsid w:val="00160615"/>
    <w:rsid w:val="00160D56"/>
    <w:rsid w:val="0016240C"/>
    <w:rsid w:val="00162E70"/>
    <w:rsid w:val="001721C6"/>
    <w:rsid w:val="00173BDF"/>
    <w:rsid w:val="00175070"/>
    <w:rsid w:val="0017543B"/>
    <w:rsid w:val="00175530"/>
    <w:rsid w:val="00183D5F"/>
    <w:rsid w:val="00184D88"/>
    <w:rsid w:val="001857DE"/>
    <w:rsid w:val="00185D47"/>
    <w:rsid w:val="00185FEF"/>
    <w:rsid w:val="00190EAF"/>
    <w:rsid w:val="001938CB"/>
    <w:rsid w:val="00196020"/>
    <w:rsid w:val="001962BB"/>
    <w:rsid w:val="00196331"/>
    <w:rsid w:val="00197ACD"/>
    <w:rsid w:val="001A02FF"/>
    <w:rsid w:val="001A3910"/>
    <w:rsid w:val="001A5A02"/>
    <w:rsid w:val="001A5F3A"/>
    <w:rsid w:val="001B3BC0"/>
    <w:rsid w:val="001B6C14"/>
    <w:rsid w:val="001B7D42"/>
    <w:rsid w:val="001B7DF2"/>
    <w:rsid w:val="001C036B"/>
    <w:rsid w:val="001C20B8"/>
    <w:rsid w:val="001C2486"/>
    <w:rsid w:val="001C37B9"/>
    <w:rsid w:val="001C4830"/>
    <w:rsid w:val="001C558B"/>
    <w:rsid w:val="001C6825"/>
    <w:rsid w:val="001C7274"/>
    <w:rsid w:val="001C79B9"/>
    <w:rsid w:val="001C7D03"/>
    <w:rsid w:val="001D24FE"/>
    <w:rsid w:val="001D5441"/>
    <w:rsid w:val="001E2EAD"/>
    <w:rsid w:val="001E4F35"/>
    <w:rsid w:val="001E6D97"/>
    <w:rsid w:val="001F0B3E"/>
    <w:rsid w:val="001F5159"/>
    <w:rsid w:val="001F713B"/>
    <w:rsid w:val="002031BD"/>
    <w:rsid w:val="00203F1D"/>
    <w:rsid w:val="002044F0"/>
    <w:rsid w:val="0020544C"/>
    <w:rsid w:val="00213D9D"/>
    <w:rsid w:val="00215E1D"/>
    <w:rsid w:val="002166B4"/>
    <w:rsid w:val="00216C26"/>
    <w:rsid w:val="00220883"/>
    <w:rsid w:val="002254A9"/>
    <w:rsid w:val="00231E59"/>
    <w:rsid w:val="002333B2"/>
    <w:rsid w:val="00234E86"/>
    <w:rsid w:val="00237C85"/>
    <w:rsid w:val="0024157F"/>
    <w:rsid w:val="00242E48"/>
    <w:rsid w:val="002446CC"/>
    <w:rsid w:val="00244839"/>
    <w:rsid w:val="00245CC8"/>
    <w:rsid w:val="002471DC"/>
    <w:rsid w:val="002507EE"/>
    <w:rsid w:val="00251DA3"/>
    <w:rsid w:val="00252934"/>
    <w:rsid w:val="002543B6"/>
    <w:rsid w:val="00255A1E"/>
    <w:rsid w:val="002617EA"/>
    <w:rsid w:val="0026218F"/>
    <w:rsid w:val="00262BE2"/>
    <w:rsid w:val="00262F68"/>
    <w:rsid w:val="00263C2A"/>
    <w:rsid w:val="00263CC1"/>
    <w:rsid w:val="00264226"/>
    <w:rsid w:val="00264E10"/>
    <w:rsid w:val="00266276"/>
    <w:rsid w:val="0026676D"/>
    <w:rsid w:val="00267C4E"/>
    <w:rsid w:val="002706ED"/>
    <w:rsid w:val="0027243C"/>
    <w:rsid w:val="00272A95"/>
    <w:rsid w:val="0027593A"/>
    <w:rsid w:val="00277C61"/>
    <w:rsid w:val="002807AE"/>
    <w:rsid w:val="00286A82"/>
    <w:rsid w:val="002908B3"/>
    <w:rsid w:val="0029107C"/>
    <w:rsid w:val="00293A92"/>
    <w:rsid w:val="0029448C"/>
    <w:rsid w:val="00296620"/>
    <w:rsid w:val="002972B5"/>
    <w:rsid w:val="00297D7C"/>
    <w:rsid w:val="002A0985"/>
    <w:rsid w:val="002A0A5E"/>
    <w:rsid w:val="002A45B7"/>
    <w:rsid w:val="002A524D"/>
    <w:rsid w:val="002A587B"/>
    <w:rsid w:val="002B4BB1"/>
    <w:rsid w:val="002B5967"/>
    <w:rsid w:val="002C1258"/>
    <w:rsid w:val="002C1F66"/>
    <w:rsid w:val="002C2010"/>
    <w:rsid w:val="002C21D4"/>
    <w:rsid w:val="002C454A"/>
    <w:rsid w:val="002C5B45"/>
    <w:rsid w:val="002C6656"/>
    <w:rsid w:val="002C7D6B"/>
    <w:rsid w:val="002D065D"/>
    <w:rsid w:val="002D1023"/>
    <w:rsid w:val="002D2CE4"/>
    <w:rsid w:val="002D2E37"/>
    <w:rsid w:val="002D6089"/>
    <w:rsid w:val="002D759F"/>
    <w:rsid w:val="002E1BBB"/>
    <w:rsid w:val="002E2399"/>
    <w:rsid w:val="002E356A"/>
    <w:rsid w:val="002E58AF"/>
    <w:rsid w:val="002F1491"/>
    <w:rsid w:val="002F1C49"/>
    <w:rsid w:val="002F2023"/>
    <w:rsid w:val="002F6478"/>
    <w:rsid w:val="002F73EC"/>
    <w:rsid w:val="003038AD"/>
    <w:rsid w:val="00307403"/>
    <w:rsid w:val="00307759"/>
    <w:rsid w:val="00307952"/>
    <w:rsid w:val="00311E96"/>
    <w:rsid w:val="00313063"/>
    <w:rsid w:val="0031361B"/>
    <w:rsid w:val="003154FD"/>
    <w:rsid w:val="00315540"/>
    <w:rsid w:val="00316C45"/>
    <w:rsid w:val="00317AC1"/>
    <w:rsid w:val="00320121"/>
    <w:rsid w:val="0032401C"/>
    <w:rsid w:val="00325958"/>
    <w:rsid w:val="00326816"/>
    <w:rsid w:val="00326E00"/>
    <w:rsid w:val="00332A2C"/>
    <w:rsid w:val="00335032"/>
    <w:rsid w:val="00337138"/>
    <w:rsid w:val="0034173B"/>
    <w:rsid w:val="00341F6F"/>
    <w:rsid w:val="00343C36"/>
    <w:rsid w:val="0034501B"/>
    <w:rsid w:val="003452E2"/>
    <w:rsid w:val="00346691"/>
    <w:rsid w:val="00346FA1"/>
    <w:rsid w:val="00347BAE"/>
    <w:rsid w:val="00352149"/>
    <w:rsid w:val="00355AE3"/>
    <w:rsid w:val="003623B1"/>
    <w:rsid w:val="0036384D"/>
    <w:rsid w:val="003641EE"/>
    <w:rsid w:val="00366DB5"/>
    <w:rsid w:val="00367A73"/>
    <w:rsid w:val="00371594"/>
    <w:rsid w:val="003715CE"/>
    <w:rsid w:val="00374205"/>
    <w:rsid w:val="00376972"/>
    <w:rsid w:val="00377AD8"/>
    <w:rsid w:val="0038069F"/>
    <w:rsid w:val="00380BF0"/>
    <w:rsid w:val="00382824"/>
    <w:rsid w:val="003845DC"/>
    <w:rsid w:val="00385656"/>
    <w:rsid w:val="0038585E"/>
    <w:rsid w:val="00385D16"/>
    <w:rsid w:val="00391B59"/>
    <w:rsid w:val="003942E7"/>
    <w:rsid w:val="00397BF9"/>
    <w:rsid w:val="003A60C0"/>
    <w:rsid w:val="003B4D48"/>
    <w:rsid w:val="003C33D0"/>
    <w:rsid w:val="003C59E5"/>
    <w:rsid w:val="003C797F"/>
    <w:rsid w:val="003D2E1F"/>
    <w:rsid w:val="003D4391"/>
    <w:rsid w:val="003D5ED7"/>
    <w:rsid w:val="003E0FCB"/>
    <w:rsid w:val="003E19F7"/>
    <w:rsid w:val="003E4A61"/>
    <w:rsid w:val="003E5BDE"/>
    <w:rsid w:val="003E6215"/>
    <w:rsid w:val="003E7AA6"/>
    <w:rsid w:val="003F0160"/>
    <w:rsid w:val="003F3B17"/>
    <w:rsid w:val="003F4AEB"/>
    <w:rsid w:val="003F6A00"/>
    <w:rsid w:val="00400126"/>
    <w:rsid w:val="00400510"/>
    <w:rsid w:val="004068B5"/>
    <w:rsid w:val="00407692"/>
    <w:rsid w:val="00410FB8"/>
    <w:rsid w:val="004113E7"/>
    <w:rsid w:val="00413234"/>
    <w:rsid w:val="0041465A"/>
    <w:rsid w:val="00415590"/>
    <w:rsid w:val="004218F2"/>
    <w:rsid w:val="004231B1"/>
    <w:rsid w:val="00423617"/>
    <w:rsid w:val="0042552F"/>
    <w:rsid w:val="00425A6E"/>
    <w:rsid w:val="004265FA"/>
    <w:rsid w:val="00430345"/>
    <w:rsid w:val="00433F2F"/>
    <w:rsid w:val="00437906"/>
    <w:rsid w:val="004404CE"/>
    <w:rsid w:val="00447080"/>
    <w:rsid w:val="00452CC9"/>
    <w:rsid w:val="00452F2A"/>
    <w:rsid w:val="00455705"/>
    <w:rsid w:val="00455EB6"/>
    <w:rsid w:val="0046077B"/>
    <w:rsid w:val="0046113B"/>
    <w:rsid w:val="00462FD1"/>
    <w:rsid w:val="00466126"/>
    <w:rsid w:val="004733F6"/>
    <w:rsid w:val="004758D3"/>
    <w:rsid w:val="00476FEC"/>
    <w:rsid w:val="00484396"/>
    <w:rsid w:val="00485D16"/>
    <w:rsid w:val="00491E54"/>
    <w:rsid w:val="0049337D"/>
    <w:rsid w:val="00497C59"/>
    <w:rsid w:val="004A2D40"/>
    <w:rsid w:val="004A5C7F"/>
    <w:rsid w:val="004A69B7"/>
    <w:rsid w:val="004A6E7B"/>
    <w:rsid w:val="004B08A0"/>
    <w:rsid w:val="004B3DE1"/>
    <w:rsid w:val="004B5CB5"/>
    <w:rsid w:val="004B6FB0"/>
    <w:rsid w:val="004B7237"/>
    <w:rsid w:val="004B724B"/>
    <w:rsid w:val="004B7386"/>
    <w:rsid w:val="004C1B2E"/>
    <w:rsid w:val="004C2DC5"/>
    <w:rsid w:val="004C42D6"/>
    <w:rsid w:val="004D197A"/>
    <w:rsid w:val="004D23A0"/>
    <w:rsid w:val="004D32B4"/>
    <w:rsid w:val="004D364B"/>
    <w:rsid w:val="004D636D"/>
    <w:rsid w:val="004E53C5"/>
    <w:rsid w:val="004F136F"/>
    <w:rsid w:val="004F25C7"/>
    <w:rsid w:val="004F2C67"/>
    <w:rsid w:val="004F3507"/>
    <w:rsid w:val="004F4AA4"/>
    <w:rsid w:val="004F5A77"/>
    <w:rsid w:val="0050170E"/>
    <w:rsid w:val="0050222E"/>
    <w:rsid w:val="0050297C"/>
    <w:rsid w:val="00503248"/>
    <w:rsid w:val="0051235C"/>
    <w:rsid w:val="00512A95"/>
    <w:rsid w:val="005142EE"/>
    <w:rsid w:val="0051443D"/>
    <w:rsid w:val="005144E6"/>
    <w:rsid w:val="00517AF6"/>
    <w:rsid w:val="00520761"/>
    <w:rsid w:val="00524304"/>
    <w:rsid w:val="00525451"/>
    <w:rsid w:val="0052742C"/>
    <w:rsid w:val="00527431"/>
    <w:rsid w:val="005319B5"/>
    <w:rsid w:val="005328C2"/>
    <w:rsid w:val="00533C05"/>
    <w:rsid w:val="00534F55"/>
    <w:rsid w:val="005415AF"/>
    <w:rsid w:val="00542388"/>
    <w:rsid w:val="0054245A"/>
    <w:rsid w:val="0054302C"/>
    <w:rsid w:val="00546648"/>
    <w:rsid w:val="00546C3A"/>
    <w:rsid w:val="00555409"/>
    <w:rsid w:val="00557A19"/>
    <w:rsid w:val="00560C4B"/>
    <w:rsid w:val="00560DB0"/>
    <w:rsid w:val="00566F48"/>
    <w:rsid w:val="00567EC3"/>
    <w:rsid w:val="00570653"/>
    <w:rsid w:val="005709E6"/>
    <w:rsid w:val="005716BC"/>
    <w:rsid w:val="00574683"/>
    <w:rsid w:val="00575ECF"/>
    <w:rsid w:val="00576912"/>
    <w:rsid w:val="005773A1"/>
    <w:rsid w:val="00580C41"/>
    <w:rsid w:val="00582AFB"/>
    <w:rsid w:val="00585ABC"/>
    <w:rsid w:val="005913D1"/>
    <w:rsid w:val="00591C15"/>
    <w:rsid w:val="00591EE2"/>
    <w:rsid w:val="00596D31"/>
    <w:rsid w:val="0059725F"/>
    <w:rsid w:val="005A16FA"/>
    <w:rsid w:val="005A187B"/>
    <w:rsid w:val="005B2F2B"/>
    <w:rsid w:val="005B37DB"/>
    <w:rsid w:val="005B3A11"/>
    <w:rsid w:val="005B5125"/>
    <w:rsid w:val="005B55DD"/>
    <w:rsid w:val="005B6C2D"/>
    <w:rsid w:val="005B6F2B"/>
    <w:rsid w:val="005B7111"/>
    <w:rsid w:val="005C3B20"/>
    <w:rsid w:val="005D07E8"/>
    <w:rsid w:val="005D18CD"/>
    <w:rsid w:val="005D30A1"/>
    <w:rsid w:val="005D58E0"/>
    <w:rsid w:val="005D70AB"/>
    <w:rsid w:val="005D78E5"/>
    <w:rsid w:val="005E45A3"/>
    <w:rsid w:val="005E4E0A"/>
    <w:rsid w:val="005E566C"/>
    <w:rsid w:val="005E64F8"/>
    <w:rsid w:val="005E6DBA"/>
    <w:rsid w:val="005E7319"/>
    <w:rsid w:val="005F0EF4"/>
    <w:rsid w:val="005F0FDD"/>
    <w:rsid w:val="005F30E0"/>
    <w:rsid w:val="00603A68"/>
    <w:rsid w:val="0060405F"/>
    <w:rsid w:val="00604D8A"/>
    <w:rsid w:val="00613551"/>
    <w:rsid w:val="006135ED"/>
    <w:rsid w:val="00622482"/>
    <w:rsid w:val="00622580"/>
    <w:rsid w:val="00622608"/>
    <w:rsid w:val="0062331C"/>
    <w:rsid w:val="006241BA"/>
    <w:rsid w:val="00626F64"/>
    <w:rsid w:val="00627529"/>
    <w:rsid w:val="00632C56"/>
    <w:rsid w:val="006370E8"/>
    <w:rsid w:val="00645463"/>
    <w:rsid w:val="00651B6F"/>
    <w:rsid w:val="006523EC"/>
    <w:rsid w:val="00652A4C"/>
    <w:rsid w:val="00652CF0"/>
    <w:rsid w:val="00654648"/>
    <w:rsid w:val="00655A36"/>
    <w:rsid w:val="0065635A"/>
    <w:rsid w:val="006608C0"/>
    <w:rsid w:val="00664762"/>
    <w:rsid w:val="00664E61"/>
    <w:rsid w:val="00666154"/>
    <w:rsid w:val="0067197B"/>
    <w:rsid w:val="00672FCF"/>
    <w:rsid w:val="006750F0"/>
    <w:rsid w:val="00680284"/>
    <w:rsid w:val="00680BC7"/>
    <w:rsid w:val="006857D1"/>
    <w:rsid w:val="0069279D"/>
    <w:rsid w:val="006933E8"/>
    <w:rsid w:val="006964D7"/>
    <w:rsid w:val="0069730F"/>
    <w:rsid w:val="00697D75"/>
    <w:rsid w:val="006A3543"/>
    <w:rsid w:val="006B06CC"/>
    <w:rsid w:val="006B55FA"/>
    <w:rsid w:val="006B63A0"/>
    <w:rsid w:val="006C14D9"/>
    <w:rsid w:val="006C3638"/>
    <w:rsid w:val="006C3B90"/>
    <w:rsid w:val="006C3DC3"/>
    <w:rsid w:val="006C40E2"/>
    <w:rsid w:val="006C435E"/>
    <w:rsid w:val="006C4A27"/>
    <w:rsid w:val="006C581A"/>
    <w:rsid w:val="006C5DCA"/>
    <w:rsid w:val="006C6503"/>
    <w:rsid w:val="006C6F32"/>
    <w:rsid w:val="006D2447"/>
    <w:rsid w:val="006D2708"/>
    <w:rsid w:val="006D6E48"/>
    <w:rsid w:val="006D7047"/>
    <w:rsid w:val="006D7939"/>
    <w:rsid w:val="006E1C1C"/>
    <w:rsid w:val="006E3322"/>
    <w:rsid w:val="006E79D3"/>
    <w:rsid w:val="006F587D"/>
    <w:rsid w:val="006F6BC7"/>
    <w:rsid w:val="006F769F"/>
    <w:rsid w:val="0070171E"/>
    <w:rsid w:val="00701C16"/>
    <w:rsid w:val="007036E6"/>
    <w:rsid w:val="00705591"/>
    <w:rsid w:val="00706F69"/>
    <w:rsid w:val="00710A1B"/>
    <w:rsid w:val="007115DC"/>
    <w:rsid w:val="007173C8"/>
    <w:rsid w:val="007220DA"/>
    <w:rsid w:val="00724A32"/>
    <w:rsid w:val="007255BE"/>
    <w:rsid w:val="00727255"/>
    <w:rsid w:val="007355CC"/>
    <w:rsid w:val="00736B06"/>
    <w:rsid w:val="00737574"/>
    <w:rsid w:val="00745FCB"/>
    <w:rsid w:val="007503D4"/>
    <w:rsid w:val="00751228"/>
    <w:rsid w:val="00752556"/>
    <w:rsid w:val="00753455"/>
    <w:rsid w:val="00755880"/>
    <w:rsid w:val="0075605A"/>
    <w:rsid w:val="00763FB9"/>
    <w:rsid w:val="00764DCD"/>
    <w:rsid w:val="00766942"/>
    <w:rsid w:val="007673D3"/>
    <w:rsid w:val="0077004A"/>
    <w:rsid w:val="00770FC2"/>
    <w:rsid w:val="00771AA8"/>
    <w:rsid w:val="00785554"/>
    <w:rsid w:val="007857FD"/>
    <w:rsid w:val="00786417"/>
    <w:rsid w:val="0079023A"/>
    <w:rsid w:val="00792489"/>
    <w:rsid w:val="0079621D"/>
    <w:rsid w:val="007A0EF4"/>
    <w:rsid w:val="007A10F8"/>
    <w:rsid w:val="007A2421"/>
    <w:rsid w:val="007A4713"/>
    <w:rsid w:val="007B1646"/>
    <w:rsid w:val="007C4C58"/>
    <w:rsid w:val="007D05E9"/>
    <w:rsid w:val="007D12BB"/>
    <w:rsid w:val="007D24B1"/>
    <w:rsid w:val="007D461C"/>
    <w:rsid w:val="007D4CE9"/>
    <w:rsid w:val="007D5A3A"/>
    <w:rsid w:val="007D70A2"/>
    <w:rsid w:val="007E012C"/>
    <w:rsid w:val="007E1026"/>
    <w:rsid w:val="007E2EB3"/>
    <w:rsid w:val="007E45E7"/>
    <w:rsid w:val="007F039B"/>
    <w:rsid w:val="007F0D9A"/>
    <w:rsid w:val="007F2540"/>
    <w:rsid w:val="007F58D1"/>
    <w:rsid w:val="007F74AB"/>
    <w:rsid w:val="0080144B"/>
    <w:rsid w:val="00802E9A"/>
    <w:rsid w:val="008042E9"/>
    <w:rsid w:val="0080469D"/>
    <w:rsid w:val="00810148"/>
    <w:rsid w:val="0081089E"/>
    <w:rsid w:val="00811A17"/>
    <w:rsid w:val="008125E8"/>
    <w:rsid w:val="008128BC"/>
    <w:rsid w:val="00813CF3"/>
    <w:rsid w:val="00823EB9"/>
    <w:rsid w:val="00826E24"/>
    <w:rsid w:val="008357B5"/>
    <w:rsid w:val="008416C0"/>
    <w:rsid w:val="00842008"/>
    <w:rsid w:val="008429E7"/>
    <w:rsid w:val="00843396"/>
    <w:rsid w:val="0084530D"/>
    <w:rsid w:val="00847ADB"/>
    <w:rsid w:val="00852455"/>
    <w:rsid w:val="00852C4F"/>
    <w:rsid w:val="00853BC7"/>
    <w:rsid w:val="008560D1"/>
    <w:rsid w:val="0086103E"/>
    <w:rsid w:val="00863464"/>
    <w:rsid w:val="00863AE1"/>
    <w:rsid w:val="00864A83"/>
    <w:rsid w:val="00864A8D"/>
    <w:rsid w:val="00864AB1"/>
    <w:rsid w:val="008650F8"/>
    <w:rsid w:val="0086655B"/>
    <w:rsid w:val="0086676B"/>
    <w:rsid w:val="008703C5"/>
    <w:rsid w:val="0087050B"/>
    <w:rsid w:val="00872BF5"/>
    <w:rsid w:val="008732CA"/>
    <w:rsid w:val="008741C1"/>
    <w:rsid w:val="00875734"/>
    <w:rsid w:val="00880ABA"/>
    <w:rsid w:val="00884281"/>
    <w:rsid w:val="00885155"/>
    <w:rsid w:val="0088616B"/>
    <w:rsid w:val="008875D5"/>
    <w:rsid w:val="00892F05"/>
    <w:rsid w:val="00893E03"/>
    <w:rsid w:val="008940EC"/>
    <w:rsid w:val="008947C3"/>
    <w:rsid w:val="008A064A"/>
    <w:rsid w:val="008A210F"/>
    <w:rsid w:val="008A2762"/>
    <w:rsid w:val="008A62AA"/>
    <w:rsid w:val="008B0ABA"/>
    <w:rsid w:val="008B29F0"/>
    <w:rsid w:val="008C231A"/>
    <w:rsid w:val="008C7CB3"/>
    <w:rsid w:val="008C7F34"/>
    <w:rsid w:val="008D025E"/>
    <w:rsid w:val="008D099A"/>
    <w:rsid w:val="008D3D56"/>
    <w:rsid w:val="008D4F79"/>
    <w:rsid w:val="008E1930"/>
    <w:rsid w:val="008E539A"/>
    <w:rsid w:val="008E5A7F"/>
    <w:rsid w:val="008F3105"/>
    <w:rsid w:val="008F514F"/>
    <w:rsid w:val="008F534E"/>
    <w:rsid w:val="008F601B"/>
    <w:rsid w:val="00900564"/>
    <w:rsid w:val="0090057D"/>
    <w:rsid w:val="009015F9"/>
    <w:rsid w:val="00904B3C"/>
    <w:rsid w:val="00906FFE"/>
    <w:rsid w:val="00911380"/>
    <w:rsid w:val="00911C0E"/>
    <w:rsid w:val="00912795"/>
    <w:rsid w:val="00913B41"/>
    <w:rsid w:val="00916554"/>
    <w:rsid w:val="00920971"/>
    <w:rsid w:val="00921F07"/>
    <w:rsid w:val="00922B59"/>
    <w:rsid w:val="0092302A"/>
    <w:rsid w:val="009241CA"/>
    <w:rsid w:val="0092463D"/>
    <w:rsid w:val="00924889"/>
    <w:rsid w:val="0093183F"/>
    <w:rsid w:val="00932A71"/>
    <w:rsid w:val="00933263"/>
    <w:rsid w:val="00933A31"/>
    <w:rsid w:val="00934BCC"/>
    <w:rsid w:val="00934C97"/>
    <w:rsid w:val="009378EA"/>
    <w:rsid w:val="00937B57"/>
    <w:rsid w:val="00937FCA"/>
    <w:rsid w:val="0094084B"/>
    <w:rsid w:val="00951704"/>
    <w:rsid w:val="0095658F"/>
    <w:rsid w:val="0096002B"/>
    <w:rsid w:val="00967009"/>
    <w:rsid w:val="00972872"/>
    <w:rsid w:val="0097571F"/>
    <w:rsid w:val="0097644F"/>
    <w:rsid w:val="00980B5A"/>
    <w:rsid w:val="00980DAC"/>
    <w:rsid w:val="00982894"/>
    <w:rsid w:val="00984004"/>
    <w:rsid w:val="009874BC"/>
    <w:rsid w:val="00990DF3"/>
    <w:rsid w:val="00994A08"/>
    <w:rsid w:val="00994AA6"/>
    <w:rsid w:val="00995A38"/>
    <w:rsid w:val="009964DA"/>
    <w:rsid w:val="009A427E"/>
    <w:rsid w:val="009A4ABF"/>
    <w:rsid w:val="009A5A15"/>
    <w:rsid w:val="009B14F2"/>
    <w:rsid w:val="009B6342"/>
    <w:rsid w:val="009B6BA0"/>
    <w:rsid w:val="009C0662"/>
    <w:rsid w:val="009C085C"/>
    <w:rsid w:val="009C1B6B"/>
    <w:rsid w:val="009C3AA0"/>
    <w:rsid w:val="009C7F9B"/>
    <w:rsid w:val="009D290D"/>
    <w:rsid w:val="009D2BE3"/>
    <w:rsid w:val="009D42E4"/>
    <w:rsid w:val="009D6E70"/>
    <w:rsid w:val="009D7926"/>
    <w:rsid w:val="009E1A03"/>
    <w:rsid w:val="009E3381"/>
    <w:rsid w:val="009E35FC"/>
    <w:rsid w:val="009E43F5"/>
    <w:rsid w:val="009E5B84"/>
    <w:rsid w:val="009E5F28"/>
    <w:rsid w:val="009E787A"/>
    <w:rsid w:val="009F0F48"/>
    <w:rsid w:val="009F1563"/>
    <w:rsid w:val="009F2113"/>
    <w:rsid w:val="009F72D4"/>
    <w:rsid w:val="00A000A2"/>
    <w:rsid w:val="00A006A5"/>
    <w:rsid w:val="00A027EC"/>
    <w:rsid w:val="00A0423A"/>
    <w:rsid w:val="00A06D6A"/>
    <w:rsid w:val="00A10C54"/>
    <w:rsid w:val="00A11C0A"/>
    <w:rsid w:val="00A15FE6"/>
    <w:rsid w:val="00A17382"/>
    <w:rsid w:val="00A21DFA"/>
    <w:rsid w:val="00A24101"/>
    <w:rsid w:val="00A25D8A"/>
    <w:rsid w:val="00A31F24"/>
    <w:rsid w:val="00A33A62"/>
    <w:rsid w:val="00A45ACC"/>
    <w:rsid w:val="00A463A9"/>
    <w:rsid w:val="00A50167"/>
    <w:rsid w:val="00A5310F"/>
    <w:rsid w:val="00A638F9"/>
    <w:rsid w:val="00A6621C"/>
    <w:rsid w:val="00A66940"/>
    <w:rsid w:val="00A7178D"/>
    <w:rsid w:val="00A80780"/>
    <w:rsid w:val="00A80C46"/>
    <w:rsid w:val="00A80FF6"/>
    <w:rsid w:val="00A8132E"/>
    <w:rsid w:val="00A81546"/>
    <w:rsid w:val="00A82F4B"/>
    <w:rsid w:val="00A83975"/>
    <w:rsid w:val="00A840E6"/>
    <w:rsid w:val="00A845D5"/>
    <w:rsid w:val="00A9033F"/>
    <w:rsid w:val="00A944B2"/>
    <w:rsid w:val="00A973E3"/>
    <w:rsid w:val="00AA15BA"/>
    <w:rsid w:val="00AA3603"/>
    <w:rsid w:val="00AA3DAA"/>
    <w:rsid w:val="00AA440A"/>
    <w:rsid w:val="00AA54D1"/>
    <w:rsid w:val="00AA735F"/>
    <w:rsid w:val="00AB0E48"/>
    <w:rsid w:val="00AB209C"/>
    <w:rsid w:val="00AB41D4"/>
    <w:rsid w:val="00AB6CD6"/>
    <w:rsid w:val="00AB7AB9"/>
    <w:rsid w:val="00AC04AA"/>
    <w:rsid w:val="00AC4632"/>
    <w:rsid w:val="00AC4C3A"/>
    <w:rsid w:val="00AD1E5A"/>
    <w:rsid w:val="00AD2C7D"/>
    <w:rsid w:val="00AD41A6"/>
    <w:rsid w:val="00AD4815"/>
    <w:rsid w:val="00AE1701"/>
    <w:rsid w:val="00AE1C8A"/>
    <w:rsid w:val="00AE4252"/>
    <w:rsid w:val="00AE6B63"/>
    <w:rsid w:val="00AE6FAF"/>
    <w:rsid w:val="00AF62B3"/>
    <w:rsid w:val="00AF78FE"/>
    <w:rsid w:val="00B0307D"/>
    <w:rsid w:val="00B047E0"/>
    <w:rsid w:val="00B05E5C"/>
    <w:rsid w:val="00B0754E"/>
    <w:rsid w:val="00B07757"/>
    <w:rsid w:val="00B106BF"/>
    <w:rsid w:val="00B11423"/>
    <w:rsid w:val="00B12739"/>
    <w:rsid w:val="00B13F43"/>
    <w:rsid w:val="00B214DF"/>
    <w:rsid w:val="00B22680"/>
    <w:rsid w:val="00B32838"/>
    <w:rsid w:val="00B334BF"/>
    <w:rsid w:val="00B4013B"/>
    <w:rsid w:val="00B416A3"/>
    <w:rsid w:val="00B436CB"/>
    <w:rsid w:val="00B43FD7"/>
    <w:rsid w:val="00B50AB4"/>
    <w:rsid w:val="00B56B64"/>
    <w:rsid w:val="00B571BE"/>
    <w:rsid w:val="00B579F5"/>
    <w:rsid w:val="00B64155"/>
    <w:rsid w:val="00B67768"/>
    <w:rsid w:val="00B67990"/>
    <w:rsid w:val="00B7325D"/>
    <w:rsid w:val="00B8360A"/>
    <w:rsid w:val="00B85D88"/>
    <w:rsid w:val="00B90979"/>
    <w:rsid w:val="00B90C74"/>
    <w:rsid w:val="00B9124D"/>
    <w:rsid w:val="00B91B61"/>
    <w:rsid w:val="00B92338"/>
    <w:rsid w:val="00B93071"/>
    <w:rsid w:val="00B95786"/>
    <w:rsid w:val="00B97520"/>
    <w:rsid w:val="00B977F4"/>
    <w:rsid w:val="00BA0E34"/>
    <w:rsid w:val="00BA2E73"/>
    <w:rsid w:val="00BA3E85"/>
    <w:rsid w:val="00BA5302"/>
    <w:rsid w:val="00BB5C9A"/>
    <w:rsid w:val="00BC0F73"/>
    <w:rsid w:val="00BC2FC4"/>
    <w:rsid w:val="00BC7657"/>
    <w:rsid w:val="00BC769B"/>
    <w:rsid w:val="00BC7BEE"/>
    <w:rsid w:val="00BD1A23"/>
    <w:rsid w:val="00BD4365"/>
    <w:rsid w:val="00BD781E"/>
    <w:rsid w:val="00BD7DDE"/>
    <w:rsid w:val="00BE032F"/>
    <w:rsid w:val="00BE148A"/>
    <w:rsid w:val="00BE2675"/>
    <w:rsid w:val="00BE3374"/>
    <w:rsid w:val="00BE3B56"/>
    <w:rsid w:val="00BE4929"/>
    <w:rsid w:val="00BE6481"/>
    <w:rsid w:val="00BF16BF"/>
    <w:rsid w:val="00C01AD5"/>
    <w:rsid w:val="00C02934"/>
    <w:rsid w:val="00C02E01"/>
    <w:rsid w:val="00C045AA"/>
    <w:rsid w:val="00C0678F"/>
    <w:rsid w:val="00C079C2"/>
    <w:rsid w:val="00C07C5F"/>
    <w:rsid w:val="00C117C6"/>
    <w:rsid w:val="00C11CCB"/>
    <w:rsid w:val="00C127B6"/>
    <w:rsid w:val="00C12D86"/>
    <w:rsid w:val="00C172F9"/>
    <w:rsid w:val="00C2126D"/>
    <w:rsid w:val="00C26C20"/>
    <w:rsid w:val="00C30C57"/>
    <w:rsid w:val="00C317C6"/>
    <w:rsid w:val="00C32466"/>
    <w:rsid w:val="00C33FC6"/>
    <w:rsid w:val="00C37C3A"/>
    <w:rsid w:val="00C40ED3"/>
    <w:rsid w:val="00C426D1"/>
    <w:rsid w:val="00C42DF2"/>
    <w:rsid w:val="00C44316"/>
    <w:rsid w:val="00C4438C"/>
    <w:rsid w:val="00C44592"/>
    <w:rsid w:val="00C50EE5"/>
    <w:rsid w:val="00C51FE8"/>
    <w:rsid w:val="00C52D04"/>
    <w:rsid w:val="00C53B4C"/>
    <w:rsid w:val="00C53C01"/>
    <w:rsid w:val="00C547CA"/>
    <w:rsid w:val="00C55E24"/>
    <w:rsid w:val="00C57653"/>
    <w:rsid w:val="00C60D34"/>
    <w:rsid w:val="00C631E3"/>
    <w:rsid w:val="00C651D7"/>
    <w:rsid w:val="00C674DA"/>
    <w:rsid w:val="00C67670"/>
    <w:rsid w:val="00C677AE"/>
    <w:rsid w:val="00C67DB5"/>
    <w:rsid w:val="00C70727"/>
    <w:rsid w:val="00C72CC2"/>
    <w:rsid w:val="00C76E9A"/>
    <w:rsid w:val="00C8053C"/>
    <w:rsid w:val="00C80FF4"/>
    <w:rsid w:val="00C81351"/>
    <w:rsid w:val="00C83864"/>
    <w:rsid w:val="00C83AF8"/>
    <w:rsid w:val="00C84A92"/>
    <w:rsid w:val="00C84E57"/>
    <w:rsid w:val="00C86180"/>
    <w:rsid w:val="00C86BE4"/>
    <w:rsid w:val="00C87114"/>
    <w:rsid w:val="00C917D3"/>
    <w:rsid w:val="00C92524"/>
    <w:rsid w:val="00C927DA"/>
    <w:rsid w:val="00C93B3B"/>
    <w:rsid w:val="00C93D69"/>
    <w:rsid w:val="00C95CE1"/>
    <w:rsid w:val="00C96F4D"/>
    <w:rsid w:val="00C97035"/>
    <w:rsid w:val="00CA06BD"/>
    <w:rsid w:val="00CA1A65"/>
    <w:rsid w:val="00CA1ED7"/>
    <w:rsid w:val="00CA293F"/>
    <w:rsid w:val="00CA3C4A"/>
    <w:rsid w:val="00CA4E4E"/>
    <w:rsid w:val="00CA5B3C"/>
    <w:rsid w:val="00CB0170"/>
    <w:rsid w:val="00CB0966"/>
    <w:rsid w:val="00CB0EFA"/>
    <w:rsid w:val="00CB13C2"/>
    <w:rsid w:val="00CB2A7E"/>
    <w:rsid w:val="00CB3AB0"/>
    <w:rsid w:val="00CB3E6C"/>
    <w:rsid w:val="00CB75FB"/>
    <w:rsid w:val="00CC247C"/>
    <w:rsid w:val="00CC263C"/>
    <w:rsid w:val="00CC31FF"/>
    <w:rsid w:val="00CC3EB7"/>
    <w:rsid w:val="00CC5667"/>
    <w:rsid w:val="00CC6C1E"/>
    <w:rsid w:val="00CD1A56"/>
    <w:rsid w:val="00CD201D"/>
    <w:rsid w:val="00CD33D3"/>
    <w:rsid w:val="00CD367D"/>
    <w:rsid w:val="00CD3926"/>
    <w:rsid w:val="00CD3A11"/>
    <w:rsid w:val="00CD493C"/>
    <w:rsid w:val="00CD4E5A"/>
    <w:rsid w:val="00CF59BF"/>
    <w:rsid w:val="00CF6EFF"/>
    <w:rsid w:val="00D00DF6"/>
    <w:rsid w:val="00D02CA6"/>
    <w:rsid w:val="00D046B4"/>
    <w:rsid w:val="00D07938"/>
    <w:rsid w:val="00D11A67"/>
    <w:rsid w:val="00D14DDE"/>
    <w:rsid w:val="00D15BA1"/>
    <w:rsid w:val="00D16703"/>
    <w:rsid w:val="00D20C9D"/>
    <w:rsid w:val="00D2171A"/>
    <w:rsid w:val="00D2257A"/>
    <w:rsid w:val="00D23FEF"/>
    <w:rsid w:val="00D242BA"/>
    <w:rsid w:val="00D247F2"/>
    <w:rsid w:val="00D265BD"/>
    <w:rsid w:val="00D276AE"/>
    <w:rsid w:val="00D301D6"/>
    <w:rsid w:val="00D3177B"/>
    <w:rsid w:val="00D31A17"/>
    <w:rsid w:val="00D32A68"/>
    <w:rsid w:val="00D33318"/>
    <w:rsid w:val="00D33964"/>
    <w:rsid w:val="00D344F3"/>
    <w:rsid w:val="00D3478E"/>
    <w:rsid w:val="00D3779E"/>
    <w:rsid w:val="00D44553"/>
    <w:rsid w:val="00D45739"/>
    <w:rsid w:val="00D45857"/>
    <w:rsid w:val="00D471EB"/>
    <w:rsid w:val="00D47220"/>
    <w:rsid w:val="00D479FD"/>
    <w:rsid w:val="00D51B12"/>
    <w:rsid w:val="00D531AD"/>
    <w:rsid w:val="00D53622"/>
    <w:rsid w:val="00D54253"/>
    <w:rsid w:val="00D54620"/>
    <w:rsid w:val="00D5470A"/>
    <w:rsid w:val="00D578FB"/>
    <w:rsid w:val="00D6195A"/>
    <w:rsid w:val="00D629EB"/>
    <w:rsid w:val="00D64148"/>
    <w:rsid w:val="00D656E4"/>
    <w:rsid w:val="00D6577A"/>
    <w:rsid w:val="00D6578C"/>
    <w:rsid w:val="00D65D6F"/>
    <w:rsid w:val="00D70199"/>
    <w:rsid w:val="00D7069F"/>
    <w:rsid w:val="00D7104A"/>
    <w:rsid w:val="00D77AE5"/>
    <w:rsid w:val="00D801DD"/>
    <w:rsid w:val="00D81B6F"/>
    <w:rsid w:val="00D83519"/>
    <w:rsid w:val="00D83858"/>
    <w:rsid w:val="00D83F27"/>
    <w:rsid w:val="00D91FB4"/>
    <w:rsid w:val="00D92003"/>
    <w:rsid w:val="00D92682"/>
    <w:rsid w:val="00D93C50"/>
    <w:rsid w:val="00D93C95"/>
    <w:rsid w:val="00D97AE8"/>
    <w:rsid w:val="00DA021A"/>
    <w:rsid w:val="00DA028B"/>
    <w:rsid w:val="00DA295E"/>
    <w:rsid w:val="00DA3D09"/>
    <w:rsid w:val="00DA63B1"/>
    <w:rsid w:val="00DA7E24"/>
    <w:rsid w:val="00DB07A9"/>
    <w:rsid w:val="00DB1D24"/>
    <w:rsid w:val="00DB48DE"/>
    <w:rsid w:val="00DB4AC8"/>
    <w:rsid w:val="00DB5069"/>
    <w:rsid w:val="00DC3049"/>
    <w:rsid w:val="00DC313C"/>
    <w:rsid w:val="00DC3F6C"/>
    <w:rsid w:val="00DC4164"/>
    <w:rsid w:val="00DD2712"/>
    <w:rsid w:val="00DE0199"/>
    <w:rsid w:val="00DE0CE9"/>
    <w:rsid w:val="00DE2FC5"/>
    <w:rsid w:val="00DE365B"/>
    <w:rsid w:val="00DF0D72"/>
    <w:rsid w:val="00DF2418"/>
    <w:rsid w:val="00DF404D"/>
    <w:rsid w:val="00DF704A"/>
    <w:rsid w:val="00E01964"/>
    <w:rsid w:val="00E04534"/>
    <w:rsid w:val="00E0712A"/>
    <w:rsid w:val="00E10DD0"/>
    <w:rsid w:val="00E1203B"/>
    <w:rsid w:val="00E14236"/>
    <w:rsid w:val="00E14904"/>
    <w:rsid w:val="00E14A76"/>
    <w:rsid w:val="00E14D1E"/>
    <w:rsid w:val="00E15C8C"/>
    <w:rsid w:val="00E1718D"/>
    <w:rsid w:val="00E207BA"/>
    <w:rsid w:val="00E23ED5"/>
    <w:rsid w:val="00E24886"/>
    <w:rsid w:val="00E24A6C"/>
    <w:rsid w:val="00E25A1C"/>
    <w:rsid w:val="00E26428"/>
    <w:rsid w:val="00E26B21"/>
    <w:rsid w:val="00E27351"/>
    <w:rsid w:val="00E30BBF"/>
    <w:rsid w:val="00E31A7C"/>
    <w:rsid w:val="00E33519"/>
    <w:rsid w:val="00E33D93"/>
    <w:rsid w:val="00E35E4D"/>
    <w:rsid w:val="00E36B3C"/>
    <w:rsid w:val="00E4091C"/>
    <w:rsid w:val="00E44B8E"/>
    <w:rsid w:val="00E4581C"/>
    <w:rsid w:val="00E466F4"/>
    <w:rsid w:val="00E47508"/>
    <w:rsid w:val="00E51883"/>
    <w:rsid w:val="00E5196C"/>
    <w:rsid w:val="00E5671E"/>
    <w:rsid w:val="00E577AA"/>
    <w:rsid w:val="00E61B17"/>
    <w:rsid w:val="00E64B10"/>
    <w:rsid w:val="00E64FB2"/>
    <w:rsid w:val="00E65065"/>
    <w:rsid w:val="00E67F55"/>
    <w:rsid w:val="00E70B34"/>
    <w:rsid w:val="00E70E24"/>
    <w:rsid w:val="00E7118A"/>
    <w:rsid w:val="00E7168A"/>
    <w:rsid w:val="00E72263"/>
    <w:rsid w:val="00E8161D"/>
    <w:rsid w:val="00E82DDE"/>
    <w:rsid w:val="00E83390"/>
    <w:rsid w:val="00E84724"/>
    <w:rsid w:val="00E84CD2"/>
    <w:rsid w:val="00E85857"/>
    <w:rsid w:val="00E91A48"/>
    <w:rsid w:val="00E930DC"/>
    <w:rsid w:val="00EA29B1"/>
    <w:rsid w:val="00EA3BC1"/>
    <w:rsid w:val="00EA530F"/>
    <w:rsid w:val="00EA5C95"/>
    <w:rsid w:val="00EB18C0"/>
    <w:rsid w:val="00EB2D05"/>
    <w:rsid w:val="00EB3B48"/>
    <w:rsid w:val="00EB5CAD"/>
    <w:rsid w:val="00EB6194"/>
    <w:rsid w:val="00EC02E1"/>
    <w:rsid w:val="00EC1371"/>
    <w:rsid w:val="00EC7E7E"/>
    <w:rsid w:val="00ED0775"/>
    <w:rsid w:val="00ED4885"/>
    <w:rsid w:val="00ED58E9"/>
    <w:rsid w:val="00ED6F0D"/>
    <w:rsid w:val="00EE24C6"/>
    <w:rsid w:val="00EE393F"/>
    <w:rsid w:val="00EE73BC"/>
    <w:rsid w:val="00EF5074"/>
    <w:rsid w:val="00F0063B"/>
    <w:rsid w:val="00F041C7"/>
    <w:rsid w:val="00F04DD5"/>
    <w:rsid w:val="00F07658"/>
    <w:rsid w:val="00F07EC2"/>
    <w:rsid w:val="00F10DB0"/>
    <w:rsid w:val="00F13437"/>
    <w:rsid w:val="00F142B8"/>
    <w:rsid w:val="00F142CA"/>
    <w:rsid w:val="00F14D02"/>
    <w:rsid w:val="00F1523F"/>
    <w:rsid w:val="00F15995"/>
    <w:rsid w:val="00F172E3"/>
    <w:rsid w:val="00F2211B"/>
    <w:rsid w:val="00F24C73"/>
    <w:rsid w:val="00F27383"/>
    <w:rsid w:val="00F32B76"/>
    <w:rsid w:val="00F41C47"/>
    <w:rsid w:val="00F41E30"/>
    <w:rsid w:val="00F427EE"/>
    <w:rsid w:val="00F4420B"/>
    <w:rsid w:val="00F44570"/>
    <w:rsid w:val="00F462D3"/>
    <w:rsid w:val="00F47FA9"/>
    <w:rsid w:val="00F50395"/>
    <w:rsid w:val="00F51591"/>
    <w:rsid w:val="00F5538C"/>
    <w:rsid w:val="00F55E58"/>
    <w:rsid w:val="00F560EB"/>
    <w:rsid w:val="00F564B8"/>
    <w:rsid w:val="00F62331"/>
    <w:rsid w:val="00F629ED"/>
    <w:rsid w:val="00F62BBE"/>
    <w:rsid w:val="00F63822"/>
    <w:rsid w:val="00F64DDF"/>
    <w:rsid w:val="00F65072"/>
    <w:rsid w:val="00F72837"/>
    <w:rsid w:val="00F72D52"/>
    <w:rsid w:val="00F73899"/>
    <w:rsid w:val="00F739AB"/>
    <w:rsid w:val="00F74D70"/>
    <w:rsid w:val="00F77584"/>
    <w:rsid w:val="00F81D2D"/>
    <w:rsid w:val="00F83D27"/>
    <w:rsid w:val="00F8429C"/>
    <w:rsid w:val="00F8559C"/>
    <w:rsid w:val="00F86C07"/>
    <w:rsid w:val="00F91264"/>
    <w:rsid w:val="00F93236"/>
    <w:rsid w:val="00F94B62"/>
    <w:rsid w:val="00F950D1"/>
    <w:rsid w:val="00F9545E"/>
    <w:rsid w:val="00F96920"/>
    <w:rsid w:val="00FA0D07"/>
    <w:rsid w:val="00FA29DD"/>
    <w:rsid w:val="00FA2D70"/>
    <w:rsid w:val="00FA3A69"/>
    <w:rsid w:val="00FA443B"/>
    <w:rsid w:val="00FA66D6"/>
    <w:rsid w:val="00FA7AE2"/>
    <w:rsid w:val="00FB382E"/>
    <w:rsid w:val="00FB3CD7"/>
    <w:rsid w:val="00FB5B55"/>
    <w:rsid w:val="00FB757C"/>
    <w:rsid w:val="00FC00C8"/>
    <w:rsid w:val="00FC1C6B"/>
    <w:rsid w:val="00FC46AC"/>
    <w:rsid w:val="00FC61A3"/>
    <w:rsid w:val="00FC71D5"/>
    <w:rsid w:val="00FD1549"/>
    <w:rsid w:val="00FD19AF"/>
    <w:rsid w:val="00FD2CE6"/>
    <w:rsid w:val="00FD4876"/>
    <w:rsid w:val="00FD7D74"/>
    <w:rsid w:val="00FE026D"/>
    <w:rsid w:val="00FE1CE7"/>
    <w:rsid w:val="00FF2401"/>
    <w:rsid w:val="00FF3EDF"/>
    <w:rsid w:val="00FF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6523E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6523E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243">
      <w:bodyDiv w:val="1"/>
      <w:marLeft w:val="0"/>
      <w:marRight w:val="0"/>
      <w:marTop w:val="0"/>
      <w:marBottom w:val="0"/>
      <w:divBdr>
        <w:top w:val="none" w:sz="0" w:space="0" w:color="auto"/>
        <w:left w:val="none" w:sz="0" w:space="0" w:color="auto"/>
        <w:bottom w:val="none" w:sz="0" w:space="0" w:color="auto"/>
        <w:right w:val="none" w:sz="0" w:space="0" w:color="auto"/>
      </w:divBdr>
    </w:div>
    <w:div w:id="143744001">
      <w:bodyDiv w:val="1"/>
      <w:marLeft w:val="0"/>
      <w:marRight w:val="0"/>
      <w:marTop w:val="0"/>
      <w:marBottom w:val="0"/>
      <w:divBdr>
        <w:top w:val="none" w:sz="0" w:space="0" w:color="auto"/>
        <w:left w:val="none" w:sz="0" w:space="0" w:color="auto"/>
        <w:bottom w:val="none" w:sz="0" w:space="0" w:color="auto"/>
        <w:right w:val="none" w:sz="0" w:space="0" w:color="auto"/>
      </w:divBdr>
    </w:div>
    <w:div w:id="29047776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404841060">
      <w:bodyDiv w:val="1"/>
      <w:marLeft w:val="0"/>
      <w:marRight w:val="0"/>
      <w:marTop w:val="0"/>
      <w:marBottom w:val="0"/>
      <w:divBdr>
        <w:top w:val="none" w:sz="0" w:space="0" w:color="auto"/>
        <w:left w:val="none" w:sz="0" w:space="0" w:color="auto"/>
        <w:bottom w:val="none" w:sz="0" w:space="0" w:color="auto"/>
        <w:right w:val="none" w:sz="0" w:space="0" w:color="auto"/>
      </w:divBdr>
    </w:div>
    <w:div w:id="430126623">
      <w:bodyDiv w:val="1"/>
      <w:marLeft w:val="0"/>
      <w:marRight w:val="0"/>
      <w:marTop w:val="0"/>
      <w:marBottom w:val="0"/>
      <w:divBdr>
        <w:top w:val="none" w:sz="0" w:space="0" w:color="auto"/>
        <w:left w:val="none" w:sz="0" w:space="0" w:color="auto"/>
        <w:bottom w:val="none" w:sz="0" w:space="0" w:color="auto"/>
        <w:right w:val="none" w:sz="0" w:space="0" w:color="auto"/>
      </w:divBdr>
    </w:div>
    <w:div w:id="514228141">
      <w:bodyDiv w:val="1"/>
      <w:marLeft w:val="0"/>
      <w:marRight w:val="0"/>
      <w:marTop w:val="0"/>
      <w:marBottom w:val="0"/>
      <w:divBdr>
        <w:top w:val="none" w:sz="0" w:space="0" w:color="auto"/>
        <w:left w:val="none" w:sz="0" w:space="0" w:color="auto"/>
        <w:bottom w:val="none" w:sz="0" w:space="0" w:color="auto"/>
        <w:right w:val="none" w:sz="0" w:space="0" w:color="auto"/>
      </w:divBdr>
    </w:div>
    <w:div w:id="584220174">
      <w:bodyDiv w:val="1"/>
      <w:marLeft w:val="0"/>
      <w:marRight w:val="0"/>
      <w:marTop w:val="0"/>
      <w:marBottom w:val="0"/>
      <w:divBdr>
        <w:top w:val="none" w:sz="0" w:space="0" w:color="auto"/>
        <w:left w:val="none" w:sz="0" w:space="0" w:color="auto"/>
        <w:bottom w:val="none" w:sz="0" w:space="0" w:color="auto"/>
        <w:right w:val="none" w:sz="0" w:space="0" w:color="auto"/>
      </w:divBdr>
    </w:div>
    <w:div w:id="611786480">
      <w:bodyDiv w:val="1"/>
      <w:marLeft w:val="0"/>
      <w:marRight w:val="0"/>
      <w:marTop w:val="0"/>
      <w:marBottom w:val="0"/>
      <w:divBdr>
        <w:top w:val="none" w:sz="0" w:space="0" w:color="auto"/>
        <w:left w:val="none" w:sz="0" w:space="0" w:color="auto"/>
        <w:bottom w:val="none" w:sz="0" w:space="0" w:color="auto"/>
        <w:right w:val="none" w:sz="0" w:space="0" w:color="auto"/>
      </w:divBdr>
    </w:div>
    <w:div w:id="645477149">
      <w:bodyDiv w:val="1"/>
      <w:marLeft w:val="0"/>
      <w:marRight w:val="0"/>
      <w:marTop w:val="0"/>
      <w:marBottom w:val="0"/>
      <w:divBdr>
        <w:top w:val="none" w:sz="0" w:space="0" w:color="auto"/>
        <w:left w:val="none" w:sz="0" w:space="0" w:color="auto"/>
        <w:bottom w:val="none" w:sz="0" w:space="0" w:color="auto"/>
        <w:right w:val="none" w:sz="0" w:space="0" w:color="auto"/>
      </w:divBdr>
    </w:div>
    <w:div w:id="742213985">
      <w:bodyDiv w:val="1"/>
      <w:marLeft w:val="0"/>
      <w:marRight w:val="0"/>
      <w:marTop w:val="0"/>
      <w:marBottom w:val="0"/>
      <w:divBdr>
        <w:top w:val="none" w:sz="0" w:space="0" w:color="auto"/>
        <w:left w:val="none" w:sz="0" w:space="0" w:color="auto"/>
        <w:bottom w:val="none" w:sz="0" w:space="0" w:color="auto"/>
        <w:right w:val="none" w:sz="0" w:space="0" w:color="auto"/>
      </w:divBdr>
    </w:div>
    <w:div w:id="748120799">
      <w:bodyDiv w:val="1"/>
      <w:marLeft w:val="0"/>
      <w:marRight w:val="0"/>
      <w:marTop w:val="0"/>
      <w:marBottom w:val="0"/>
      <w:divBdr>
        <w:top w:val="none" w:sz="0" w:space="0" w:color="auto"/>
        <w:left w:val="none" w:sz="0" w:space="0" w:color="auto"/>
        <w:bottom w:val="none" w:sz="0" w:space="0" w:color="auto"/>
        <w:right w:val="none" w:sz="0" w:space="0" w:color="auto"/>
      </w:divBdr>
    </w:div>
    <w:div w:id="769005266">
      <w:bodyDiv w:val="1"/>
      <w:marLeft w:val="0"/>
      <w:marRight w:val="0"/>
      <w:marTop w:val="0"/>
      <w:marBottom w:val="0"/>
      <w:divBdr>
        <w:top w:val="none" w:sz="0" w:space="0" w:color="auto"/>
        <w:left w:val="none" w:sz="0" w:space="0" w:color="auto"/>
        <w:bottom w:val="none" w:sz="0" w:space="0" w:color="auto"/>
        <w:right w:val="none" w:sz="0" w:space="0" w:color="auto"/>
      </w:divBdr>
    </w:div>
    <w:div w:id="921253926">
      <w:bodyDiv w:val="1"/>
      <w:marLeft w:val="0"/>
      <w:marRight w:val="0"/>
      <w:marTop w:val="0"/>
      <w:marBottom w:val="0"/>
      <w:divBdr>
        <w:top w:val="none" w:sz="0" w:space="0" w:color="auto"/>
        <w:left w:val="none" w:sz="0" w:space="0" w:color="auto"/>
        <w:bottom w:val="none" w:sz="0" w:space="0" w:color="auto"/>
        <w:right w:val="none" w:sz="0" w:space="0" w:color="auto"/>
      </w:divBdr>
    </w:div>
    <w:div w:id="923730786">
      <w:bodyDiv w:val="1"/>
      <w:marLeft w:val="0"/>
      <w:marRight w:val="0"/>
      <w:marTop w:val="0"/>
      <w:marBottom w:val="0"/>
      <w:divBdr>
        <w:top w:val="none" w:sz="0" w:space="0" w:color="auto"/>
        <w:left w:val="none" w:sz="0" w:space="0" w:color="auto"/>
        <w:bottom w:val="none" w:sz="0" w:space="0" w:color="auto"/>
        <w:right w:val="none" w:sz="0" w:space="0" w:color="auto"/>
      </w:divBdr>
    </w:div>
    <w:div w:id="994264615">
      <w:bodyDiv w:val="1"/>
      <w:marLeft w:val="0"/>
      <w:marRight w:val="0"/>
      <w:marTop w:val="0"/>
      <w:marBottom w:val="0"/>
      <w:divBdr>
        <w:top w:val="none" w:sz="0" w:space="0" w:color="auto"/>
        <w:left w:val="none" w:sz="0" w:space="0" w:color="auto"/>
        <w:bottom w:val="none" w:sz="0" w:space="0" w:color="auto"/>
        <w:right w:val="none" w:sz="0" w:space="0" w:color="auto"/>
      </w:divBdr>
    </w:div>
    <w:div w:id="1026172073">
      <w:bodyDiv w:val="1"/>
      <w:marLeft w:val="0"/>
      <w:marRight w:val="0"/>
      <w:marTop w:val="0"/>
      <w:marBottom w:val="0"/>
      <w:divBdr>
        <w:top w:val="none" w:sz="0" w:space="0" w:color="auto"/>
        <w:left w:val="none" w:sz="0" w:space="0" w:color="auto"/>
        <w:bottom w:val="none" w:sz="0" w:space="0" w:color="auto"/>
        <w:right w:val="none" w:sz="0" w:space="0" w:color="auto"/>
      </w:divBdr>
    </w:div>
    <w:div w:id="1223365854">
      <w:bodyDiv w:val="1"/>
      <w:marLeft w:val="0"/>
      <w:marRight w:val="0"/>
      <w:marTop w:val="0"/>
      <w:marBottom w:val="0"/>
      <w:divBdr>
        <w:top w:val="none" w:sz="0" w:space="0" w:color="auto"/>
        <w:left w:val="none" w:sz="0" w:space="0" w:color="auto"/>
        <w:bottom w:val="none" w:sz="0" w:space="0" w:color="auto"/>
        <w:right w:val="none" w:sz="0" w:space="0" w:color="auto"/>
      </w:divBdr>
    </w:div>
    <w:div w:id="1231190801">
      <w:bodyDiv w:val="1"/>
      <w:marLeft w:val="0"/>
      <w:marRight w:val="0"/>
      <w:marTop w:val="0"/>
      <w:marBottom w:val="0"/>
      <w:divBdr>
        <w:top w:val="none" w:sz="0" w:space="0" w:color="auto"/>
        <w:left w:val="none" w:sz="0" w:space="0" w:color="auto"/>
        <w:bottom w:val="none" w:sz="0" w:space="0" w:color="auto"/>
        <w:right w:val="none" w:sz="0" w:space="0" w:color="auto"/>
      </w:divBdr>
    </w:div>
    <w:div w:id="1275819614">
      <w:bodyDiv w:val="1"/>
      <w:marLeft w:val="0"/>
      <w:marRight w:val="0"/>
      <w:marTop w:val="0"/>
      <w:marBottom w:val="0"/>
      <w:divBdr>
        <w:top w:val="none" w:sz="0" w:space="0" w:color="auto"/>
        <w:left w:val="none" w:sz="0" w:space="0" w:color="auto"/>
        <w:bottom w:val="none" w:sz="0" w:space="0" w:color="auto"/>
        <w:right w:val="none" w:sz="0" w:space="0" w:color="auto"/>
      </w:divBdr>
    </w:div>
    <w:div w:id="1286353275">
      <w:bodyDiv w:val="1"/>
      <w:marLeft w:val="0"/>
      <w:marRight w:val="0"/>
      <w:marTop w:val="0"/>
      <w:marBottom w:val="0"/>
      <w:divBdr>
        <w:top w:val="none" w:sz="0" w:space="0" w:color="auto"/>
        <w:left w:val="none" w:sz="0" w:space="0" w:color="auto"/>
        <w:bottom w:val="none" w:sz="0" w:space="0" w:color="auto"/>
        <w:right w:val="none" w:sz="0" w:space="0" w:color="auto"/>
      </w:divBdr>
    </w:div>
    <w:div w:id="1392919971">
      <w:bodyDiv w:val="1"/>
      <w:marLeft w:val="0"/>
      <w:marRight w:val="0"/>
      <w:marTop w:val="0"/>
      <w:marBottom w:val="0"/>
      <w:divBdr>
        <w:top w:val="none" w:sz="0" w:space="0" w:color="auto"/>
        <w:left w:val="none" w:sz="0" w:space="0" w:color="auto"/>
        <w:bottom w:val="none" w:sz="0" w:space="0" w:color="auto"/>
        <w:right w:val="none" w:sz="0" w:space="0" w:color="auto"/>
      </w:divBdr>
    </w:div>
    <w:div w:id="1578638260">
      <w:bodyDiv w:val="1"/>
      <w:marLeft w:val="0"/>
      <w:marRight w:val="0"/>
      <w:marTop w:val="0"/>
      <w:marBottom w:val="0"/>
      <w:divBdr>
        <w:top w:val="none" w:sz="0" w:space="0" w:color="auto"/>
        <w:left w:val="none" w:sz="0" w:space="0" w:color="auto"/>
        <w:bottom w:val="none" w:sz="0" w:space="0" w:color="auto"/>
        <w:right w:val="none" w:sz="0" w:space="0" w:color="auto"/>
      </w:divBdr>
    </w:div>
    <w:div w:id="1690181695">
      <w:bodyDiv w:val="1"/>
      <w:marLeft w:val="0"/>
      <w:marRight w:val="0"/>
      <w:marTop w:val="0"/>
      <w:marBottom w:val="0"/>
      <w:divBdr>
        <w:top w:val="none" w:sz="0" w:space="0" w:color="auto"/>
        <w:left w:val="none" w:sz="0" w:space="0" w:color="auto"/>
        <w:bottom w:val="none" w:sz="0" w:space="0" w:color="auto"/>
        <w:right w:val="none" w:sz="0" w:space="0" w:color="auto"/>
      </w:divBdr>
    </w:div>
    <w:div w:id="1931347922">
      <w:bodyDiv w:val="1"/>
      <w:marLeft w:val="0"/>
      <w:marRight w:val="0"/>
      <w:marTop w:val="0"/>
      <w:marBottom w:val="0"/>
      <w:divBdr>
        <w:top w:val="none" w:sz="0" w:space="0" w:color="auto"/>
        <w:left w:val="none" w:sz="0" w:space="0" w:color="auto"/>
        <w:bottom w:val="none" w:sz="0" w:space="0" w:color="auto"/>
        <w:right w:val="none" w:sz="0" w:space="0" w:color="auto"/>
      </w:divBdr>
    </w:div>
    <w:div w:id="1941644841">
      <w:bodyDiv w:val="1"/>
      <w:marLeft w:val="0"/>
      <w:marRight w:val="0"/>
      <w:marTop w:val="0"/>
      <w:marBottom w:val="0"/>
      <w:divBdr>
        <w:top w:val="none" w:sz="0" w:space="0" w:color="auto"/>
        <w:left w:val="none" w:sz="0" w:space="0" w:color="auto"/>
        <w:bottom w:val="none" w:sz="0" w:space="0" w:color="auto"/>
        <w:right w:val="none" w:sz="0" w:space="0" w:color="auto"/>
      </w:divBdr>
    </w:div>
    <w:div w:id="1960338912">
      <w:bodyDiv w:val="1"/>
      <w:marLeft w:val="0"/>
      <w:marRight w:val="0"/>
      <w:marTop w:val="0"/>
      <w:marBottom w:val="0"/>
      <w:divBdr>
        <w:top w:val="none" w:sz="0" w:space="0" w:color="auto"/>
        <w:left w:val="none" w:sz="0" w:space="0" w:color="auto"/>
        <w:bottom w:val="none" w:sz="0" w:space="0" w:color="auto"/>
        <w:right w:val="none" w:sz="0" w:space="0" w:color="auto"/>
      </w:divBdr>
    </w:div>
    <w:div w:id="2031830759">
      <w:bodyDiv w:val="1"/>
      <w:marLeft w:val="0"/>
      <w:marRight w:val="0"/>
      <w:marTop w:val="0"/>
      <w:marBottom w:val="0"/>
      <w:divBdr>
        <w:top w:val="none" w:sz="0" w:space="0" w:color="auto"/>
        <w:left w:val="none" w:sz="0" w:space="0" w:color="auto"/>
        <w:bottom w:val="none" w:sz="0" w:space="0" w:color="auto"/>
        <w:right w:val="none" w:sz="0" w:space="0" w:color="auto"/>
      </w:divBdr>
    </w:div>
    <w:div w:id="20331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a:solidFill>
                <a:schemeClr val="tx2">
                  <a:lumMod val="75000"/>
                </a:schemeClr>
              </a:solidFill>
            </a:ln>
          </c:spPr>
          <c:explosion val="25"/>
          <c:dPt>
            <c:idx val="0"/>
            <c:bubble3D val="0"/>
            <c:spPr>
              <a:solidFill>
                <a:schemeClr val="tx2">
                  <a:lumMod val="60000"/>
                  <a:lumOff val="40000"/>
                </a:schemeClr>
              </a:solidFill>
              <a:ln>
                <a:solidFill>
                  <a:schemeClr val="tx2">
                    <a:lumMod val="75000"/>
                  </a:schemeClr>
                </a:solidFill>
              </a:ln>
            </c:spPr>
          </c:dPt>
          <c:dPt>
            <c:idx val="1"/>
            <c:bubble3D val="0"/>
            <c:spPr>
              <a:solidFill>
                <a:schemeClr val="bg1">
                  <a:lumMod val="50000"/>
                </a:schemeClr>
              </a:solidFill>
              <a:ln>
                <a:solidFill>
                  <a:schemeClr val="tx2">
                    <a:lumMod val="75000"/>
                  </a:schemeClr>
                </a:solidFill>
              </a:ln>
            </c:spPr>
          </c:dPt>
          <c:dPt>
            <c:idx val="3"/>
            <c:bubble3D val="0"/>
            <c:spPr>
              <a:solidFill>
                <a:schemeClr val="tx1"/>
              </a:solidFill>
              <a:ln>
                <a:solidFill>
                  <a:schemeClr val="tx1"/>
                </a:solidFill>
              </a:ln>
            </c:spPr>
          </c:dPt>
          <c:dPt>
            <c:idx val="4"/>
            <c:bubble3D val="0"/>
            <c:spPr>
              <a:solidFill>
                <a:srgbClr val="FF0000"/>
              </a:solidFill>
              <a:ln>
                <a:solidFill>
                  <a:schemeClr val="tx2">
                    <a:lumMod val="75000"/>
                  </a:schemeClr>
                </a:solidFill>
              </a:ln>
            </c:spPr>
          </c:dPt>
          <c:dPt>
            <c:idx val="5"/>
            <c:bubble3D val="0"/>
            <c:spPr>
              <a:solidFill>
                <a:schemeClr val="accent6">
                  <a:lumMod val="75000"/>
                </a:schemeClr>
              </a:solidFill>
              <a:ln>
                <a:solidFill>
                  <a:schemeClr val="tx2">
                    <a:lumMod val="75000"/>
                  </a:schemeClr>
                </a:solidFill>
              </a:ln>
            </c:spPr>
          </c:dPt>
          <c:dPt>
            <c:idx val="6"/>
            <c:bubble3D val="0"/>
            <c:explosion val="24"/>
            <c:spPr>
              <a:solidFill>
                <a:schemeClr val="accent4">
                  <a:lumMod val="75000"/>
                </a:schemeClr>
              </a:solidFill>
              <a:ln>
                <a:solidFill>
                  <a:schemeClr val="tx2">
                    <a:lumMod val="75000"/>
                  </a:schemeClr>
                </a:solidFill>
              </a:ln>
            </c:spPr>
          </c:dPt>
          <c:dLbls>
            <c:dLbl>
              <c:idx val="0"/>
              <c:layout>
                <c:manualLayout>
                  <c:x val="8.3333333333333329E-2"/>
                  <c:y val="-4.6296296296296294E-2"/>
                </c:manualLayout>
              </c:layout>
              <c:showLegendKey val="0"/>
              <c:showVal val="1"/>
              <c:showCatName val="0"/>
              <c:showSerName val="0"/>
              <c:showPercent val="0"/>
              <c:showBubbleSize val="0"/>
            </c:dLbl>
            <c:dLbl>
              <c:idx val="1"/>
              <c:layout>
                <c:manualLayout>
                  <c:x val="7.2222222222222215E-2"/>
                  <c:y val="0.10185185185185185"/>
                </c:manualLayout>
              </c:layout>
              <c:showLegendKey val="0"/>
              <c:showVal val="1"/>
              <c:showCatName val="0"/>
              <c:showSerName val="0"/>
              <c:showPercent val="0"/>
              <c:showBubbleSize val="0"/>
            </c:dLbl>
            <c:dLbl>
              <c:idx val="2"/>
              <c:layout>
                <c:manualLayout>
                  <c:x val="-1.9444444444444445E-2"/>
                  <c:y val="0.125"/>
                </c:manualLayout>
              </c:layout>
              <c:showLegendKey val="0"/>
              <c:showVal val="1"/>
              <c:showCatName val="0"/>
              <c:showSerName val="0"/>
              <c:showPercent val="0"/>
              <c:showBubbleSize val="0"/>
            </c:dLbl>
            <c:dLbl>
              <c:idx val="3"/>
              <c:layout>
                <c:manualLayout>
                  <c:x val="-7.7777777777777793E-2"/>
                  <c:y val="7.407407407407407E-2"/>
                </c:manualLayout>
              </c:layout>
              <c:showLegendKey val="0"/>
              <c:showVal val="1"/>
              <c:showCatName val="0"/>
              <c:showSerName val="0"/>
              <c:showPercent val="0"/>
              <c:showBubbleSize val="0"/>
            </c:dLbl>
            <c:dLbl>
              <c:idx val="4"/>
              <c:layout>
                <c:manualLayout>
                  <c:x val="-9.4444444444444442E-2"/>
                  <c:y val="-4.1666666666666664E-2"/>
                </c:manualLayout>
              </c:layout>
              <c:showLegendKey val="0"/>
              <c:showVal val="1"/>
              <c:showCatName val="0"/>
              <c:showSerName val="0"/>
              <c:showPercent val="0"/>
              <c:showBubbleSize val="0"/>
            </c:dLbl>
            <c:dLbl>
              <c:idx val="5"/>
              <c:layout>
                <c:manualLayout>
                  <c:x val="-6.3888888888888884E-2"/>
                  <c:y val="-9.2592592592592587E-2"/>
                </c:manualLayout>
              </c:layout>
              <c:showLegendKey val="0"/>
              <c:showVal val="1"/>
              <c:showCatName val="0"/>
              <c:showSerName val="0"/>
              <c:showPercent val="0"/>
              <c:showBubbleSize val="0"/>
            </c:dLbl>
            <c:dLbl>
              <c:idx val="6"/>
              <c:layout>
                <c:manualLayout>
                  <c:x val="-3.0555555555555555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'Disability ambos'!$A$2:$A$8</c:f>
              <c:strCache>
                <c:ptCount val="7"/>
                <c:pt idx="0">
                  <c:v>Discapacidad física</c:v>
                </c:pt>
                <c:pt idx="1">
                  <c:v>Mayores</c:v>
                </c:pt>
                <c:pt idx="2">
                  <c:v>Discapacidad visual</c:v>
                </c:pt>
                <c:pt idx="3">
                  <c:v>Discapacidad cognitiva</c:v>
                </c:pt>
                <c:pt idx="4">
                  <c:v>Todas discapacidades</c:v>
                </c:pt>
                <c:pt idx="5">
                  <c:v>Condiciones crónicas</c:v>
                </c:pt>
                <c:pt idx="6">
                  <c:v>Discapacidad auditiva</c:v>
                </c:pt>
              </c:strCache>
            </c:strRef>
          </c:cat>
          <c:val>
            <c:numRef>
              <c:f>'Disability ambos'!$B$2:$B$8</c:f>
              <c:numCache>
                <c:formatCode>0%</c:formatCode>
                <c:ptCount val="7"/>
                <c:pt idx="0">
                  <c:v>0.29370000000000002</c:v>
                </c:pt>
                <c:pt idx="1">
                  <c:v>0.1608</c:v>
                </c:pt>
                <c:pt idx="2">
                  <c:v>0.15029999999999999</c:v>
                </c:pt>
                <c:pt idx="3">
                  <c:v>0.12590000000000001</c:v>
                </c:pt>
                <c:pt idx="4">
                  <c:v>0.12239999999999999</c:v>
                </c:pt>
                <c:pt idx="5">
                  <c:v>7.6899999999999996E-2</c:v>
                </c:pt>
                <c:pt idx="6">
                  <c:v>6.9900000000000004E-2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3.5947069116360454E-2"/>
                  <c:y val="4.4977034120734907E-2"/>
                </c:manualLayout>
              </c:layout>
              <c:showLegendKey val="0"/>
              <c:showVal val="1"/>
              <c:showCatName val="0"/>
              <c:showSerName val="0"/>
              <c:showPercent val="0"/>
              <c:showBubbleSize val="0"/>
            </c:dLbl>
            <c:dLbl>
              <c:idx val="1"/>
              <c:layout>
                <c:manualLayout>
                  <c:x val="-2.7364610673665791E-2"/>
                  <c:y val="9.26738845144357E-2"/>
                </c:manualLayout>
              </c:layout>
              <c:showLegendKey val="0"/>
              <c:showVal val="1"/>
              <c:showCatName val="0"/>
              <c:showSerName val="0"/>
              <c:showPercent val="0"/>
              <c:showBubbleSize val="0"/>
            </c:dLbl>
            <c:dLbl>
              <c:idx val="2"/>
              <c:layout>
                <c:manualLayout>
                  <c:x val="-3.5694444444444445E-2"/>
                  <c:y val="-7.746427529892097E-4"/>
                </c:manualLayout>
              </c:layout>
              <c:showLegendKey val="0"/>
              <c:showVal val="1"/>
              <c:showCatName val="0"/>
              <c:showSerName val="0"/>
              <c:showPercent val="0"/>
              <c:showBubbleSize val="0"/>
            </c:dLbl>
            <c:dLbl>
              <c:idx val="3"/>
              <c:layout>
                <c:manualLayout>
                  <c:x val="-3.7220034995625546E-2"/>
                  <c:y val="-2.3433581219014291E-2"/>
                </c:manualLayout>
              </c:layout>
              <c:showLegendKey val="0"/>
              <c:showVal val="1"/>
              <c:showCatName val="0"/>
              <c:showSerName val="0"/>
              <c:showPercent val="0"/>
              <c:showBubbleSize val="0"/>
            </c:dLbl>
            <c:dLbl>
              <c:idx val="4"/>
              <c:layout>
                <c:manualLayout>
                  <c:x val="-2.4146981627296586E-3"/>
                  <c:y val="-5.4422572178477693E-2"/>
                </c:manualLayout>
              </c:layout>
              <c:showLegendKey val="0"/>
              <c:showVal val="1"/>
              <c:showCatName val="0"/>
              <c:showSerName val="0"/>
              <c:showPercent val="0"/>
              <c:showBubbleSize val="0"/>
            </c:dLbl>
            <c:dLbl>
              <c:idx val="5"/>
              <c:layout>
                <c:manualLayout>
                  <c:x val="-1.7135826771653543E-3"/>
                  <c:y val="-4.2552857976086322E-2"/>
                </c:manualLayout>
              </c:layout>
              <c:showLegendKey val="0"/>
              <c:showVal val="1"/>
              <c:showCatName val="0"/>
              <c:showSerName val="0"/>
              <c:showPercent val="0"/>
              <c:showBubbleSize val="0"/>
            </c:dLbl>
            <c:dLbl>
              <c:idx val="6"/>
              <c:layout>
                <c:manualLayout>
                  <c:x val="-9.7421259842519689E-3"/>
                  <c:y val="-1.613990959463400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'Todos5%'!$A$2:$A$8</c:f>
              <c:strCache>
                <c:ptCount val="7"/>
                <c:pt idx="0">
                  <c:v>Tecnología Móvil</c:v>
                </c:pt>
                <c:pt idx="1">
                  <c:v>Robótica</c:v>
                </c:pt>
                <c:pt idx="2">
                  <c:v>Salud Inteligente</c:v>
                </c:pt>
                <c:pt idx="3">
                  <c:v>Visión Artificial</c:v>
                </c:pt>
                <c:pt idx="4">
                  <c:v>Aprendizaje Automático</c:v>
                </c:pt>
                <c:pt idx="5">
                  <c:v>Tecnología Discapacidad</c:v>
                </c:pt>
                <c:pt idx="6">
                  <c:v>Sensores</c:v>
                </c:pt>
              </c:strCache>
            </c:strRef>
          </c:cat>
          <c:val>
            <c:numRef>
              <c:f>'Todos5%'!$B$2:$B$8</c:f>
              <c:numCache>
                <c:formatCode>0%</c:formatCode>
                <c:ptCount val="7"/>
                <c:pt idx="0">
                  <c:v>0.13339999999999999</c:v>
                </c:pt>
                <c:pt idx="1">
                  <c:v>0.12089999999999999</c:v>
                </c:pt>
                <c:pt idx="2">
                  <c:v>7.8600000000000003E-2</c:v>
                </c:pt>
                <c:pt idx="3">
                  <c:v>7.3999999999999996E-2</c:v>
                </c:pt>
                <c:pt idx="4">
                  <c:v>6.9400000000000003E-2</c:v>
                </c:pt>
                <c:pt idx="5">
                  <c:v>6.3E-2</c:v>
                </c:pt>
                <c:pt idx="6">
                  <c:v>4.5999999999999999E-2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Hoja5!$B$1</c:f>
              <c:strCache>
                <c:ptCount val="1"/>
                <c:pt idx="0">
                  <c:v>%</c:v>
                </c:pt>
              </c:strCache>
            </c:strRef>
          </c:tx>
          <c:invertIfNegative val="0"/>
          <c:cat>
            <c:strRef>
              <c:f>Hoja5!$A$2:$A$22</c:f>
              <c:strCache>
                <c:ptCount val="21"/>
                <c:pt idx="0">
                  <c:v>Computación</c:v>
                </c:pt>
                <c:pt idx="1">
                  <c:v>Internet de las cosas</c:v>
                </c:pt>
                <c:pt idx="2">
                  <c:v>Tecnología 3D</c:v>
                </c:pt>
                <c:pt idx="3">
                  <c:v>Ciudades inteligentes</c:v>
                </c:pt>
                <c:pt idx="4">
                  <c:v>Big Data</c:v>
                </c:pt>
                <c:pt idx="5">
                  <c:v>Sistemas ciberfísicos</c:v>
                </c:pt>
                <c:pt idx="6">
                  <c:v>Tecnología inalámbrica</c:v>
                </c:pt>
                <c:pt idx="7">
                  <c:v>Tecnología educación</c:v>
                </c:pt>
                <c:pt idx="8">
                  <c:v>Computación en nube</c:v>
                </c:pt>
                <c:pt idx="9">
                  <c:v>Smart Business</c:v>
                </c:pt>
                <c:pt idx="10">
                  <c:v>Software</c:v>
                </c:pt>
                <c:pt idx="11">
                  <c:v>Tecnología social</c:v>
                </c:pt>
                <c:pt idx="12">
                  <c:v>Tecnología de voz</c:v>
                </c:pt>
                <c:pt idx="13">
                  <c:v>Fotónica</c:v>
                </c:pt>
                <c:pt idx="14">
                  <c:v>Tecnología web</c:v>
                </c:pt>
                <c:pt idx="15">
                  <c:v>Hardware</c:v>
                </c:pt>
                <c:pt idx="16">
                  <c:v>Usabilidad</c:v>
                </c:pt>
                <c:pt idx="17">
                  <c:v>Nanotecnología</c:v>
                </c:pt>
                <c:pt idx="18">
                  <c:v>Brain Research</c:v>
                </c:pt>
                <c:pt idx="19">
                  <c:v>Agrability</c:v>
                </c:pt>
                <c:pt idx="20">
                  <c:v>Internet futuro</c:v>
                </c:pt>
              </c:strCache>
            </c:strRef>
          </c:cat>
          <c:val>
            <c:numRef>
              <c:f>Hoja5!$B$2:$B$22</c:f>
              <c:numCache>
                <c:formatCode>0%</c:formatCode>
                <c:ptCount val="21"/>
                <c:pt idx="0">
                  <c:v>4.4499999999999998E-2</c:v>
                </c:pt>
                <c:pt idx="1">
                  <c:v>4.3499999999999997E-2</c:v>
                </c:pt>
                <c:pt idx="2">
                  <c:v>3.4700000000000002E-2</c:v>
                </c:pt>
                <c:pt idx="3">
                  <c:v>3.2300000000000002E-2</c:v>
                </c:pt>
                <c:pt idx="4">
                  <c:v>2.8000000000000001E-2</c:v>
                </c:pt>
                <c:pt idx="5">
                  <c:v>2.7400000000000001E-2</c:v>
                </c:pt>
                <c:pt idx="6">
                  <c:v>2.6800000000000001E-2</c:v>
                </c:pt>
                <c:pt idx="7">
                  <c:v>2.5899999999999999E-2</c:v>
                </c:pt>
                <c:pt idx="8">
                  <c:v>2.5600000000000001E-2</c:v>
                </c:pt>
                <c:pt idx="9">
                  <c:v>2.0400000000000001E-2</c:v>
                </c:pt>
                <c:pt idx="10">
                  <c:v>1.9199999999999998E-2</c:v>
                </c:pt>
                <c:pt idx="11">
                  <c:v>1.7999999999999999E-2</c:v>
                </c:pt>
                <c:pt idx="12">
                  <c:v>1.55E-2</c:v>
                </c:pt>
                <c:pt idx="13">
                  <c:v>1.4E-2</c:v>
                </c:pt>
                <c:pt idx="14">
                  <c:v>1.1299999999999999E-2</c:v>
                </c:pt>
                <c:pt idx="15">
                  <c:v>8.5000000000000006E-3</c:v>
                </c:pt>
                <c:pt idx="16">
                  <c:v>5.4999999999999997E-3</c:v>
                </c:pt>
                <c:pt idx="17">
                  <c:v>4.5999999999999999E-3</c:v>
                </c:pt>
                <c:pt idx="18">
                  <c:v>3.7000000000000002E-3</c:v>
                </c:pt>
                <c:pt idx="19">
                  <c:v>3.0000000000000001E-3</c:v>
                </c:pt>
                <c:pt idx="20">
                  <c:v>2.3999999999999998E-3</c:v>
                </c:pt>
              </c:numCache>
            </c:numRef>
          </c:val>
        </c:ser>
        <c:dLbls>
          <c:showLegendKey val="0"/>
          <c:showVal val="0"/>
          <c:showCatName val="0"/>
          <c:showSerName val="0"/>
          <c:showPercent val="0"/>
          <c:showBubbleSize val="0"/>
        </c:dLbls>
        <c:gapWidth val="150"/>
        <c:axId val="170692608"/>
        <c:axId val="170694144"/>
      </c:barChart>
      <c:catAx>
        <c:axId val="170692608"/>
        <c:scaling>
          <c:orientation val="minMax"/>
        </c:scaling>
        <c:delete val="0"/>
        <c:axPos val="b"/>
        <c:majorTickMark val="out"/>
        <c:minorTickMark val="none"/>
        <c:tickLblPos val="nextTo"/>
        <c:crossAx val="170694144"/>
        <c:crosses val="autoZero"/>
        <c:auto val="1"/>
        <c:lblAlgn val="ctr"/>
        <c:lblOffset val="100"/>
        <c:noMultiLvlLbl val="0"/>
      </c:catAx>
      <c:valAx>
        <c:axId val="170694144"/>
        <c:scaling>
          <c:orientation val="minMax"/>
        </c:scaling>
        <c:delete val="0"/>
        <c:axPos val="l"/>
        <c:majorGridlines/>
        <c:numFmt formatCode="0%" sourceLinked="1"/>
        <c:majorTickMark val="out"/>
        <c:minorTickMark val="none"/>
        <c:tickLblPos val="nextTo"/>
        <c:crossAx val="1706926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'Fuentes5%'!$B$1</c:f>
              <c:strCache>
                <c:ptCount val="1"/>
                <c:pt idx="0">
                  <c:v>Gobierno (n=1330)</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'Fuentes5%'!$B$2:$B$15</c:f>
              <c:numCache>
                <c:formatCode>0%</c:formatCode>
                <c:ptCount val="14"/>
                <c:pt idx="0">
                  <c:v>0.13980000000000001</c:v>
                </c:pt>
                <c:pt idx="1">
                  <c:v>7.6700000000000004E-2</c:v>
                </c:pt>
                <c:pt idx="2">
                  <c:v>0.10299999999999999</c:v>
                </c:pt>
                <c:pt idx="3">
                  <c:v>7.2900000000000006E-2</c:v>
                </c:pt>
                <c:pt idx="4">
                  <c:v>6.3899999999999998E-2</c:v>
                </c:pt>
                <c:pt idx="5">
                  <c:v>5.6000000000000001E-2</c:v>
                </c:pt>
                <c:pt idx="6">
                  <c:v>3.3799999999999997E-2</c:v>
                </c:pt>
                <c:pt idx="7">
                  <c:v>5.4899999999999997E-2</c:v>
                </c:pt>
                <c:pt idx="8">
                  <c:v>5.3400000000000003E-2</c:v>
                </c:pt>
                <c:pt idx="9">
                  <c:v>5.11E-2</c:v>
                </c:pt>
                <c:pt idx="10">
                  <c:v>3.8300000000000001E-2</c:v>
                </c:pt>
                <c:pt idx="11">
                  <c:v>2.4799999999999999E-2</c:v>
                </c:pt>
                <c:pt idx="12">
                  <c:v>1.4999999999999999E-2</c:v>
                </c:pt>
                <c:pt idx="13">
                  <c:v>9.7999999999999997E-3</c:v>
                </c:pt>
              </c:numCache>
            </c:numRef>
          </c:val>
        </c:ser>
        <c:ser>
          <c:idx val="1"/>
          <c:order val="1"/>
          <c:tx>
            <c:strRef>
              <c:f>'Fuentes5%'!$C$1</c:f>
              <c:strCache>
                <c:ptCount val="1"/>
                <c:pt idx="0">
                  <c:v>Universidad (n=727)</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'Fuentes5%'!$C$2:$C$15</c:f>
              <c:numCache>
                <c:formatCode>0%</c:formatCode>
                <c:ptCount val="14"/>
                <c:pt idx="0">
                  <c:v>0.16089999999999999</c:v>
                </c:pt>
                <c:pt idx="1">
                  <c:v>0.1293</c:v>
                </c:pt>
                <c:pt idx="2">
                  <c:v>8.1199999999999994E-2</c:v>
                </c:pt>
                <c:pt idx="3">
                  <c:v>5.5E-2</c:v>
                </c:pt>
                <c:pt idx="4">
                  <c:v>6.7400000000000002E-2</c:v>
                </c:pt>
                <c:pt idx="5">
                  <c:v>6.7400000000000002E-2</c:v>
                </c:pt>
                <c:pt idx="6">
                  <c:v>9.4899999999999998E-2</c:v>
                </c:pt>
                <c:pt idx="7">
                  <c:v>8.3000000000000001E-3</c:v>
                </c:pt>
                <c:pt idx="8">
                  <c:v>1.24E-2</c:v>
                </c:pt>
                <c:pt idx="9">
                  <c:v>6.0499999999999998E-2</c:v>
                </c:pt>
                <c:pt idx="10">
                  <c:v>3.85E-2</c:v>
                </c:pt>
                <c:pt idx="11">
                  <c:v>5.2299999999999999E-2</c:v>
                </c:pt>
                <c:pt idx="12">
                  <c:v>8.3000000000000001E-3</c:v>
                </c:pt>
                <c:pt idx="13">
                  <c:v>4.1000000000000003E-3</c:v>
                </c:pt>
              </c:numCache>
            </c:numRef>
          </c:val>
        </c:ser>
        <c:ser>
          <c:idx val="2"/>
          <c:order val="2"/>
          <c:tx>
            <c:strRef>
              <c:f>'Fuentes5%'!$D$1</c:f>
              <c:strCache>
                <c:ptCount val="1"/>
                <c:pt idx="0">
                  <c:v>Startups (n=765)</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'Fuentes5%'!$D$2:$D$15</c:f>
              <c:numCache>
                <c:formatCode>0%</c:formatCode>
                <c:ptCount val="14"/>
                <c:pt idx="0">
                  <c:v>8.1000000000000003E-2</c:v>
                </c:pt>
                <c:pt idx="1">
                  <c:v>0.21440000000000001</c:v>
                </c:pt>
                <c:pt idx="2">
                  <c:v>4.58E-2</c:v>
                </c:pt>
                <c:pt idx="3">
                  <c:v>8.2400000000000001E-2</c:v>
                </c:pt>
                <c:pt idx="4">
                  <c:v>1.9599999999999999E-2</c:v>
                </c:pt>
                <c:pt idx="5">
                  <c:v>9.0200000000000002E-2</c:v>
                </c:pt>
                <c:pt idx="6">
                  <c:v>1.5699999999999999E-2</c:v>
                </c:pt>
                <c:pt idx="7">
                  <c:v>9.1999999999999998E-3</c:v>
                </c:pt>
                <c:pt idx="8">
                  <c:v>1.18E-2</c:v>
                </c:pt>
                <c:pt idx="9">
                  <c:v>3.4000000000000002E-2</c:v>
                </c:pt>
                <c:pt idx="10">
                  <c:v>6.2700000000000006E-2</c:v>
                </c:pt>
                <c:pt idx="11">
                  <c:v>3.7900000000000003E-2</c:v>
                </c:pt>
                <c:pt idx="12">
                  <c:v>4.7100000000000003E-2</c:v>
                </c:pt>
                <c:pt idx="13">
                  <c:v>6.2700000000000006E-2</c:v>
                </c:pt>
              </c:numCache>
            </c:numRef>
          </c:val>
        </c:ser>
        <c:ser>
          <c:idx val="3"/>
          <c:order val="3"/>
          <c:tx>
            <c:strRef>
              <c:f>'Fuentes5%'!$E$1</c:f>
              <c:strCache>
                <c:ptCount val="1"/>
                <c:pt idx="0">
                  <c:v>Empresas (n=462)</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'Fuentes5%'!$E$2:$E$15</c:f>
              <c:numCache>
                <c:formatCode>0%</c:formatCode>
                <c:ptCount val="14"/>
                <c:pt idx="0">
                  <c:v>6.93E-2</c:v>
                </c:pt>
                <c:pt idx="1">
                  <c:v>0.16880000000000001</c:v>
                </c:pt>
                <c:pt idx="2">
                  <c:v>5.8400000000000001E-2</c:v>
                </c:pt>
                <c:pt idx="3">
                  <c:v>6.0600000000000001E-2</c:v>
                </c:pt>
                <c:pt idx="4">
                  <c:v>0.1255</c:v>
                </c:pt>
                <c:pt idx="5">
                  <c:v>0.1104</c:v>
                </c:pt>
                <c:pt idx="6">
                  <c:v>4.3299999999999998E-2</c:v>
                </c:pt>
                <c:pt idx="7">
                  <c:v>8.6999999999999994E-3</c:v>
                </c:pt>
                <c:pt idx="8">
                  <c:v>3.6799999999999999E-2</c:v>
                </c:pt>
                <c:pt idx="9">
                  <c:v>2.81E-2</c:v>
                </c:pt>
                <c:pt idx="10">
                  <c:v>3.4599999999999999E-2</c:v>
                </c:pt>
                <c:pt idx="11">
                  <c:v>3.0300000000000001E-2</c:v>
                </c:pt>
                <c:pt idx="12">
                  <c:v>2.2000000000000001E-3</c:v>
                </c:pt>
                <c:pt idx="13">
                  <c:v>6.4999999999999997E-3</c:v>
                </c:pt>
              </c:numCache>
            </c:numRef>
          </c:val>
        </c:ser>
        <c:dLbls>
          <c:showLegendKey val="0"/>
          <c:showVal val="0"/>
          <c:showCatName val="0"/>
          <c:showSerName val="0"/>
          <c:showPercent val="0"/>
          <c:showBubbleSize val="0"/>
        </c:dLbls>
        <c:gapWidth val="150"/>
        <c:axId val="170707584"/>
        <c:axId val="170709376"/>
      </c:barChart>
      <c:catAx>
        <c:axId val="170707584"/>
        <c:scaling>
          <c:orientation val="minMax"/>
        </c:scaling>
        <c:delete val="0"/>
        <c:axPos val="b"/>
        <c:majorTickMark val="out"/>
        <c:minorTickMark val="none"/>
        <c:tickLblPos val="nextTo"/>
        <c:crossAx val="170709376"/>
        <c:crosses val="autoZero"/>
        <c:auto val="1"/>
        <c:lblAlgn val="ctr"/>
        <c:lblOffset val="100"/>
        <c:noMultiLvlLbl val="0"/>
      </c:catAx>
      <c:valAx>
        <c:axId val="170709376"/>
        <c:scaling>
          <c:orientation val="minMax"/>
        </c:scaling>
        <c:delete val="0"/>
        <c:axPos val="l"/>
        <c:majorGridlines/>
        <c:numFmt formatCode="0%" sourceLinked="1"/>
        <c:majorTickMark val="out"/>
        <c:minorTickMark val="none"/>
        <c:tickLblPos val="nextTo"/>
        <c:crossAx val="1707075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1712-0A8E-40B4-BB0C-939D2AC1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2655</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Villariny, Natalí</dc:creator>
  <cp:lastModifiedBy>González Villariny, Natalí</cp:lastModifiedBy>
  <cp:revision>5</cp:revision>
  <cp:lastPrinted>2017-03-06T11:23:00Z</cp:lastPrinted>
  <dcterms:created xsi:type="dcterms:W3CDTF">2017-03-06T11:20:00Z</dcterms:created>
  <dcterms:modified xsi:type="dcterms:W3CDTF">2017-03-06T11:25:00Z</dcterms:modified>
</cp:coreProperties>
</file>